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BCD4" w14:textId="77777777" w:rsidR="00EF1BE8" w:rsidRPr="002C0C08" w:rsidRDefault="00EF1BE8" w:rsidP="00426FA2">
      <w:pPr>
        <w:pStyle w:val="BodyText"/>
        <w:rPr>
          <w:sz w:val="20"/>
          <w:szCs w:val="20"/>
        </w:rPr>
      </w:pPr>
    </w:p>
    <w:p w14:paraId="79B4F5DE" w14:textId="6C030421" w:rsidR="00EF1BE8" w:rsidRPr="002C0C08" w:rsidRDefault="00342AB6" w:rsidP="00426FA2">
      <w:pPr>
        <w:pStyle w:val="Title"/>
        <w:rPr>
          <w:sz w:val="20"/>
          <w:szCs w:val="20"/>
        </w:rPr>
      </w:pPr>
      <w:r w:rsidRPr="002C0C08">
        <w:rPr>
          <w:sz w:val="20"/>
          <w:szCs w:val="20"/>
        </w:rPr>
        <w:t xml:space="preserve">THE </w:t>
      </w:r>
      <w:r w:rsidR="00A32529" w:rsidRPr="002C0C08">
        <w:rPr>
          <w:sz w:val="20"/>
          <w:szCs w:val="20"/>
        </w:rPr>
        <w:t>INDIANA</w:t>
      </w:r>
      <w:r w:rsidRPr="002C0C08">
        <w:rPr>
          <w:sz w:val="20"/>
          <w:szCs w:val="20"/>
        </w:rPr>
        <w:t xml:space="preserve"> UNIVERSITY </w:t>
      </w:r>
      <w:r w:rsidR="00A32529" w:rsidRPr="002C0C08">
        <w:rPr>
          <w:sz w:val="20"/>
          <w:szCs w:val="20"/>
        </w:rPr>
        <w:t xml:space="preserve">INDIANAPOLIS </w:t>
      </w:r>
      <w:r w:rsidRPr="002C0C08">
        <w:rPr>
          <w:sz w:val="20"/>
          <w:szCs w:val="20"/>
        </w:rPr>
        <w:t>SCHOOL OF SCIENCE CRITERIA, STANDARDS AND DOCUMENTATION GUIDELINES FOR</w:t>
      </w:r>
    </w:p>
    <w:p w14:paraId="2E49325F" w14:textId="77777777" w:rsidR="00EF1BE8" w:rsidRPr="002C0C08" w:rsidRDefault="00EF1BE8" w:rsidP="008C21A3">
      <w:pPr>
        <w:pStyle w:val="BodyText"/>
        <w:rPr>
          <w:b/>
          <w:sz w:val="20"/>
          <w:szCs w:val="20"/>
        </w:rPr>
      </w:pPr>
    </w:p>
    <w:p w14:paraId="491E2F91" w14:textId="77777777" w:rsidR="00EF1BE8" w:rsidRPr="002C0C08" w:rsidRDefault="00342AB6" w:rsidP="00540549">
      <w:pPr>
        <w:pStyle w:val="Title"/>
        <w:ind w:left="1220" w:right="1174" w:firstLine="0"/>
        <w:rPr>
          <w:sz w:val="20"/>
          <w:szCs w:val="20"/>
        </w:rPr>
      </w:pPr>
      <w:r w:rsidRPr="002C0C08">
        <w:rPr>
          <w:sz w:val="20"/>
          <w:szCs w:val="20"/>
        </w:rPr>
        <w:t>PROMOTION, TENURE, AND REAPPOINTMENT</w:t>
      </w:r>
    </w:p>
    <w:p w14:paraId="2613AB57" w14:textId="77777777" w:rsidR="00EF1BE8" w:rsidRPr="002C0C08" w:rsidRDefault="00EF1BE8" w:rsidP="00540549">
      <w:pPr>
        <w:pStyle w:val="BodyText"/>
        <w:rPr>
          <w:b/>
          <w:sz w:val="20"/>
          <w:szCs w:val="20"/>
        </w:rPr>
      </w:pPr>
    </w:p>
    <w:p w14:paraId="5BA0DE07" w14:textId="77777777" w:rsidR="00EF1BE8" w:rsidRPr="002C0C08" w:rsidRDefault="00EF1BE8" w:rsidP="00540549">
      <w:pPr>
        <w:pStyle w:val="BodyText"/>
        <w:rPr>
          <w:b/>
          <w:sz w:val="20"/>
          <w:szCs w:val="20"/>
        </w:rPr>
      </w:pPr>
    </w:p>
    <w:p w14:paraId="45729FF0" w14:textId="77777777" w:rsidR="00EF1BE8" w:rsidRPr="002C0C08" w:rsidRDefault="00EF1BE8" w:rsidP="00540549">
      <w:pPr>
        <w:pStyle w:val="BodyText"/>
        <w:rPr>
          <w:b/>
          <w:sz w:val="20"/>
          <w:szCs w:val="20"/>
        </w:rPr>
      </w:pPr>
    </w:p>
    <w:p w14:paraId="596E9B85" w14:textId="77777777" w:rsidR="00EF1BE8" w:rsidRPr="002C0C08" w:rsidRDefault="00EF1BE8" w:rsidP="00540549">
      <w:pPr>
        <w:pStyle w:val="BodyText"/>
        <w:rPr>
          <w:b/>
          <w:sz w:val="20"/>
          <w:szCs w:val="20"/>
        </w:rPr>
      </w:pPr>
    </w:p>
    <w:p w14:paraId="03511549" w14:textId="77777777" w:rsidR="00EF1BE8" w:rsidRPr="002C0C08" w:rsidRDefault="00EF1BE8" w:rsidP="00540549">
      <w:pPr>
        <w:pStyle w:val="BodyText"/>
        <w:rPr>
          <w:b/>
          <w:sz w:val="20"/>
          <w:szCs w:val="20"/>
        </w:rPr>
      </w:pPr>
    </w:p>
    <w:p w14:paraId="58AA4E6F" w14:textId="77777777" w:rsidR="00EF1BE8" w:rsidRPr="002C0C08" w:rsidRDefault="00EF1BE8" w:rsidP="00540549">
      <w:pPr>
        <w:pStyle w:val="BodyText"/>
        <w:rPr>
          <w:b/>
          <w:sz w:val="20"/>
          <w:szCs w:val="20"/>
        </w:rPr>
      </w:pPr>
    </w:p>
    <w:p w14:paraId="188FEC05" w14:textId="77777777" w:rsidR="00EF1BE8" w:rsidRPr="002C0C08" w:rsidRDefault="00EF1BE8" w:rsidP="00540549">
      <w:pPr>
        <w:pStyle w:val="BodyText"/>
        <w:rPr>
          <w:b/>
          <w:sz w:val="20"/>
          <w:szCs w:val="20"/>
        </w:rPr>
      </w:pPr>
    </w:p>
    <w:p w14:paraId="645E3150" w14:textId="77777777" w:rsidR="00EF1BE8" w:rsidRPr="002C0C08" w:rsidRDefault="00EF1BE8" w:rsidP="00540549">
      <w:pPr>
        <w:pStyle w:val="BodyText"/>
        <w:rPr>
          <w:b/>
          <w:sz w:val="20"/>
          <w:szCs w:val="20"/>
        </w:rPr>
      </w:pPr>
    </w:p>
    <w:p w14:paraId="0C96BE6E" w14:textId="77777777" w:rsidR="00EF1BE8" w:rsidRPr="002C0C08" w:rsidRDefault="00EF1BE8" w:rsidP="00540549">
      <w:pPr>
        <w:pStyle w:val="BodyText"/>
        <w:rPr>
          <w:b/>
          <w:sz w:val="20"/>
          <w:szCs w:val="20"/>
        </w:rPr>
      </w:pPr>
    </w:p>
    <w:p w14:paraId="513040A2" w14:textId="77777777" w:rsidR="00882494" w:rsidRPr="002C0C08" w:rsidRDefault="00882494" w:rsidP="00540549">
      <w:pPr>
        <w:pStyle w:val="BodyText"/>
        <w:rPr>
          <w:b/>
          <w:sz w:val="20"/>
          <w:szCs w:val="20"/>
        </w:rPr>
      </w:pPr>
    </w:p>
    <w:p w14:paraId="4D05EF16" w14:textId="77777777" w:rsidR="00882494" w:rsidRPr="002C0C08" w:rsidRDefault="00882494" w:rsidP="00540549">
      <w:pPr>
        <w:pStyle w:val="BodyText"/>
        <w:rPr>
          <w:b/>
          <w:sz w:val="20"/>
          <w:szCs w:val="20"/>
        </w:rPr>
      </w:pPr>
    </w:p>
    <w:p w14:paraId="04F0EF08" w14:textId="77777777" w:rsidR="00882494" w:rsidRPr="002C0C08" w:rsidRDefault="00882494" w:rsidP="00540549">
      <w:pPr>
        <w:pStyle w:val="BodyText"/>
        <w:rPr>
          <w:b/>
          <w:sz w:val="20"/>
          <w:szCs w:val="20"/>
        </w:rPr>
      </w:pPr>
    </w:p>
    <w:p w14:paraId="14409B60" w14:textId="77777777" w:rsidR="00882494" w:rsidRPr="002C0C08" w:rsidRDefault="00882494" w:rsidP="00540549">
      <w:pPr>
        <w:pStyle w:val="BodyText"/>
        <w:rPr>
          <w:b/>
          <w:sz w:val="20"/>
          <w:szCs w:val="20"/>
        </w:rPr>
      </w:pPr>
    </w:p>
    <w:p w14:paraId="0A20FCD4" w14:textId="77777777" w:rsidR="00882494" w:rsidRPr="002C0C08" w:rsidRDefault="00882494" w:rsidP="00540549">
      <w:pPr>
        <w:pStyle w:val="BodyText"/>
        <w:rPr>
          <w:b/>
          <w:sz w:val="20"/>
          <w:szCs w:val="20"/>
        </w:rPr>
      </w:pPr>
    </w:p>
    <w:p w14:paraId="65768E0A" w14:textId="77777777" w:rsidR="00882494" w:rsidRPr="002C0C08" w:rsidRDefault="00882494" w:rsidP="00540549">
      <w:pPr>
        <w:pStyle w:val="BodyText"/>
        <w:rPr>
          <w:b/>
          <w:sz w:val="20"/>
          <w:szCs w:val="20"/>
        </w:rPr>
      </w:pPr>
    </w:p>
    <w:p w14:paraId="3625C7B9" w14:textId="77777777" w:rsidR="00882494" w:rsidRPr="002C0C08" w:rsidRDefault="00882494" w:rsidP="00540549">
      <w:pPr>
        <w:pStyle w:val="BodyText"/>
        <w:rPr>
          <w:b/>
          <w:sz w:val="20"/>
          <w:szCs w:val="20"/>
        </w:rPr>
      </w:pPr>
    </w:p>
    <w:p w14:paraId="0E1438D0" w14:textId="77777777" w:rsidR="00EF1BE8" w:rsidRPr="002C0C08" w:rsidRDefault="00EF1BE8" w:rsidP="00540549">
      <w:pPr>
        <w:pStyle w:val="BodyText"/>
        <w:rPr>
          <w:b/>
          <w:sz w:val="20"/>
          <w:szCs w:val="20"/>
        </w:rPr>
      </w:pPr>
    </w:p>
    <w:p w14:paraId="38D4358A" w14:textId="77777777" w:rsidR="00EF1BE8" w:rsidRPr="002C0C08" w:rsidRDefault="00EF1BE8" w:rsidP="00540549">
      <w:pPr>
        <w:pStyle w:val="BodyText"/>
        <w:rPr>
          <w:b/>
          <w:sz w:val="20"/>
          <w:szCs w:val="20"/>
        </w:rPr>
      </w:pPr>
    </w:p>
    <w:p w14:paraId="4016CEE4" w14:textId="77777777" w:rsidR="00EF1BE8" w:rsidRPr="002C0C08" w:rsidRDefault="00EF1BE8" w:rsidP="00540549">
      <w:pPr>
        <w:pStyle w:val="BodyText"/>
        <w:rPr>
          <w:b/>
          <w:sz w:val="20"/>
          <w:szCs w:val="20"/>
        </w:rPr>
      </w:pPr>
    </w:p>
    <w:p w14:paraId="460BDFE9" w14:textId="77777777" w:rsidR="00EF1BE8" w:rsidRPr="002C0C08" w:rsidRDefault="00EF1BE8" w:rsidP="00540549">
      <w:pPr>
        <w:pStyle w:val="BodyText"/>
        <w:rPr>
          <w:b/>
          <w:sz w:val="20"/>
          <w:szCs w:val="20"/>
        </w:rPr>
      </w:pPr>
    </w:p>
    <w:p w14:paraId="5099DABD" w14:textId="77777777" w:rsidR="00EF1BE8" w:rsidRPr="002C0C08" w:rsidRDefault="00EF1BE8" w:rsidP="00540549">
      <w:pPr>
        <w:pStyle w:val="BodyText"/>
        <w:rPr>
          <w:b/>
          <w:sz w:val="20"/>
          <w:szCs w:val="20"/>
        </w:rPr>
      </w:pPr>
    </w:p>
    <w:p w14:paraId="421B44C4" w14:textId="1E3ECB56" w:rsidR="00EF1BE8" w:rsidRPr="002C0C08" w:rsidRDefault="002C0C08" w:rsidP="002C0C08">
      <w:pPr>
        <w:ind w:left="1530" w:right="1320" w:hanging="53"/>
        <w:jc w:val="center"/>
        <w:rPr>
          <w:sz w:val="20"/>
          <w:szCs w:val="20"/>
        </w:rPr>
      </w:pPr>
      <w:r w:rsidRPr="002C0C08">
        <w:rPr>
          <w:b/>
          <w:bCs/>
          <w:sz w:val="20"/>
          <w:szCs w:val="20"/>
        </w:rPr>
        <w:t xml:space="preserve">Approved by the SOS Faculty: May </w:t>
      </w:r>
      <w:r>
        <w:rPr>
          <w:b/>
          <w:bCs/>
          <w:sz w:val="20"/>
          <w:szCs w:val="20"/>
        </w:rPr>
        <w:t>9,</w:t>
      </w:r>
      <w:r w:rsidRPr="002C0C08">
        <w:rPr>
          <w:b/>
          <w:bCs/>
          <w:sz w:val="20"/>
          <w:szCs w:val="20"/>
        </w:rPr>
        <w:t xml:space="preserve"> 2025</w:t>
      </w:r>
      <w:r w:rsidRPr="002C0C08">
        <w:rPr>
          <w:sz w:val="20"/>
          <w:szCs w:val="20"/>
        </w:rPr>
        <w:t xml:space="preserve"> </w:t>
      </w:r>
      <w:r>
        <w:rPr>
          <w:sz w:val="20"/>
          <w:szCs w:val="20"/>
        </w:rPr>
        <w:br/>
      </w:r>
      <w:r w:rsidRPr="002C0C08">
        <w:rPr>
          <w:b/>
          <w:bCs/>
          <w:sz w:val="20"/>
          <w:szCs w:val="20"/>
        </w:rPr>
        <w:t>Previously Approved</w:t>
      </w:r>
      <w:r>
        <w:rPr>
          <w:sz w:val="20"/>
          <w:szCs w:val="20"/>
        </w:rPr>
        <w:t xml:space="preserve">:  </w:t>
      </w:r>
      <w:r w:rsidRPr="002C0C08">
        <w:rPr>
          <w:sz w:val="20"/>
          <w:szCs w:val="20"/>
        </w:rPr>
        <w:t xml:space="preserve">February 23, 2024, June 4, 2022, May 21, 2021, </w:t>
      </w:r>
      <w:r>
        <w:rPr>
          <w:sz w:val="20"/>
          <w:szCs w:val="20"/>
        </w:rPr>
        <w:br/>
      </w:r>
      <w:r w:rsidRPr="002C0C08">
        <w:rPr>
          <w:sz w:val="20"/>
          <w:szCs w:val="20"/>
        </w:rPr>
        <w:t xml:space="preserve">May 3, 2019, May 3, 2016, April 27, 2015, April 12, 2013, </w:t>
      </w:r>
      <w:r>
        <w:rPr>
          <w:sz w:val="20"/>
          <w:szCs w:val="20"/>
        </w:rPr>
        <w:br/>
      </w:r>
      <w:r w:rsidRPr="002C0C08">
        <w:rPr>
          <w:sz w:val="20"/>
          <w:szCs w:val="20"/>
        </w:rPr>
        <w:t xml:space="preserve">February 10, 2012, March 2, 2012, September 2, 2005.  </w:t>
      </w:r>
      <w:r>
        <w:rPr>
          <w:sz w:val="20"/>
          <w:szCs w:val="20"/>
        </w:rPr>
        <w:br/>
      </w:r>
      <w:r w:rsidRPr="002C0C08">
        <w:rPr>
          <w:b/>
          <w:bCs/>
          <w:sz w:val="20"/>
          <w:szCs w:val="20"/>
        </w:rPr>
        <w:t>Original Version</w:t>
      </w:r>
      <w:r w:rsidRPr="002C0C08">
        <w:rPr>
          <w:sz w:val="20"/>
          <w:szCs w:val="20"/>
        </w:rPr>
        <w:t>: March 1, 1996</w:t>
      </w:r>
    </w:p>
    <w:p w14:paraId="2B29DDC2" w14:textId="77777777" w:rsidR="00EF1BE8" w:rsidRPr="002C0C08" w:rsidRDefault="00EF1BE8" w:rsidP="00540549">
      <w:pPr>
        <w:pStyle w:val="BodyText"/>
        <w:rPr>
          <w:sz w:val="20"/>
          <w:szCs w:val="20"/>
        </w:rPr>
      </w:pPr>
    </w:p>
    <w:p w14:paraId="002D2B0E" w14:textId="77777777" w:rsidR="00EF1BE8" w:rsidRPr="002C0C08" w:rsidRDefault="00EF1BE8" w:rsidP="00540549">
      <w:pPr>
        <w:pStyle w:val="BodyText"/>
        <w:rPr>
          <w:sz w:val="20"/>
          <w:szCs w:val="20"/>
        </w:rPr>
      </w:pPr>
    </w:p>
    <w:p w14:paraId="5FD967D0" w14:textId="77777777" w:rsidR="00EF1BE8" w:rsidRPr="002C0C08" w:rsidRDefault="00EF1BE8" w:rsidP="008C21A3">
      <w:pPr>
        <w:pStyle w:val="BodyText"/>
        <w:rPr>
          <w:sz w:val="20"/>
          <w:szCs w:val="20"/>
        </w:rPr>
      </w:pPr>
    </w:p>
    <w:p w14:paraId="32708B74" w14:textId="77777777" w:rsidR="00EF1BE8" w:rsidRPr="002C0C08" w:rsidRDefault="00342AB6" w:rsidP="002C0C08">
      <w:pPr>
        <w:ind w:left="1800" w:right="1590"/>
        <w:jc w:val="center"/>
        <w:rPr>
          <w:sz w:val="20"/>
          <w:szCs w:val="20"/>
        </w:rPr>
      </w:pPr>
      <w:r w:rsidRPr="002C0C08">
        <w:rPr>
          <w:sz w:val="20"/>
          <w:szCs w:val="20"/>
        </w:rPr>
        <w:t>This version of this document supersedes all previous versions.</w:t>
      </w:r>
    </w:p>
    <w:p w14:paraId="22A2B0CB" w14:textId="77777777" w:rsidR="00EF1BE8" w:rsidRPr="002C0C08" w:rsidRDefault="00EF1BE8" w:rsidP="00540549">
      <w:pPr>
        <w:pStyle w:val="BodyText"/>
        <w:rPr>
          <w:sz w:val="20"/>
          <w:szCs w:val="20"/>
        </w:rPr>
      </w:pPr>
    </w:p>
    <w:p w14:paraId="56651271" w14:textId="77777777" w:rsidR="00EF1BE8" w:rsidRPr="002C0C08" w:rsidRDefault="00EF1BE8" w:rsidP="00426FA2">
      <w:pPr>
        <w:pStyle w:val="BodyText"/>
        <w:rPr>
          <w:sz w:val="20"/>
          <w:szCs w:val="20"/>
        </w:rPr>
      </w:pPr>
    </w:p>
    <w:p w14:paraId="7E8169D0" w14:textId="0FD56116" w:rsidR="00EF1BE8" w:rsidRPr="002C0C08" w:rsidRDefault="00342AB6" w:rsidP="008C21A3">
      <w:pPr>
        <w:ind w:left="248" w:right="585"/>
        <w:rPr>
          <w:sz w:val="20"/>
          <w:szCs w:val="20"/>
        </w:rPr>
      </w:pPr>
      <w:r w:rsidRPr="002C0C08">
        <w:rPr>
          <w:sz w:val="20"/>
          <w:szCs w:val="20"/>
        </w:rPr>
        <w:t xml:space="preserve">This document is a document of the Faculty of the </w:t>
      </w:r>
      <w:r w:rsidR="00A32529" w:rsidRPr="002C0C08">
        <w:rPr>
          <w:sz w:val="20"/>
          <w:szCs w:val="20"/>
        </w:rPr>
        <w:t xml:space="preserve">Indiana </w:t>
      </w:r>
      <w:r w:rsidRPr="002C0C08">
        <w:rPr>
          <w:sz w:val="20"/>
          <w:szCs w:val="20"/>
        </w:rPr>
        <w:t>University</w:t>
      </w:r>
      <w:r w:rsidR="00A32529" w:rsidRPr="002C0C08">
        <w:rPr>
          <w:sz w:val="20"/>
          <w:szCs w:val="20"/>
        </w:rPr>
        <w:t xml:space="preserve"> Indianapolis</w:t>
      </w:r>
      <w:r w:rsidRPr="002C0C08">
        <w:rPr>
          <w:sz w:val="20"/>
          <w:szCs w:val="20"/>
        </w:rPr>
        <w:t xml:space="preserve"> School of Science. Revision of this document is governed by the Bylaws of that Faculty.</w:t>
      </w:r>
    </w:p>
    <w:p w14:paraId="45C55EED" w14:textId="77777777" w:rsidR="005500CD" w:rsidRPr="002C0C08" w:rsidRDefault="005500CD" w:rsidP="008C21A3">
      <w:pPr>
        <w:rPr>
          <w:sz w:val="20"/>
          <w:szCs w:val="20"/>
        </w:rPr>
        <w:sectPr w:rsidR="005500CD" w:rsidRPr="002C0C08" w:rsidSect="00081F5F">
          <w:headerReference w:type="default" r:id="rId11"/>
          <w:footerReference w:type="even" r:id="rId12"/>
          <w:footerReference w:type="default" r:id="rId13"/>
          <w:type w:val="continuous"/>
          <w:pgSz w:w="12240" w:h="15840"/>
          <w:pgMar w:top="1820" w:right="1540" w:bottom="860" w:left="1460" w:header="0" w:footer="680" w:gutter="0"/>
          <w:pgNumType w:start="1"/>
          <w:cols w:space="720"/>
        </w:sectPr>
      </w:pPr>
    </w:p>
    <w:p w14:paraId="3FD7886F" w14:textId="77777777" w:rsidR="00EF1BE8" w:rsidRPr="002C0C08" w:rsidRDefault="00342AB6" w:rsidP="00426FA2">
      <w:pPr>
        <w:pStyle w:val="Heading1"/>
        <w:numPr>
          <w:ilvl w:val="0"/>
          <w:numId w:val="11"/>
        </w:numPr>
        <w:tabs>
          <w:tab w:val="left" w:pos="877"/>
          <w:tab w:val="left" w:pos="878"/>
        </w:tabs>
        <w:ind w:hanging="721"/>
        <w:rPr>
          <w:sz w:val="20"/>
          <w:szCs w:val="20"/>
        </w:rPr>
      </w:pPr>
      <w:bookmarkStart w:id="0" w:name="A._INTRODUCTION"/>
      <w:bookmarkEnd w:id="0"/>
      <w:r w:rsidRPr="002C0C08">
        <w:rPr>
          <w:sz w:val="20"/>
          <w:szCs w:val="20"/>
        </w:rPr>
        <w:lastRenderedPageBreak/>
        <w:t>INTRODUCTION</w:t>
      </w:r>
    </w:p>
    <w:p w14:paraId="4A99D819" w14:textId="77777777" w:rsidR="00EF1BE8" w:rsidRPr="002C0C08" w:rsidRDefault="00EF1BE8" w:rsidP="008C21A3">
      <w:pPr>
        <w:pStyle w:val="BodyText"/>
        <w:rPr>
          <w:b/>
          <w:sz w:val="20"/>
          <w:szCs w:val="20"/>
        </w:rPr>
      </w:pPr>
    </w:p>
    <w:p w14:paraId="643AFB6D" w14:textId="6989775C" w:rsidR="00861D3F" w:rsidRPr="002C0C08" w:rsidRDefault="00861D3F" w:rsidP="008C21A3">
      <w:pPr>
        <w:pStyle w:val="BodyText"/>
        <w:ind w:left="247" w:right="477" w:firstLine="1"/>
        <w:jc w:val="both"/>
        <w:rPr>
          <w:sz w:val="20"/>
          <w:szCs w:val="20"/>
        </w:rPr>
      </w:pPr>
      <w:r w:rsidRPr="002C0C08">
        <w:rPr>
          <w:sz w:val="20"/>
          <w:szCs w:val="20"/>
        </w:rPr>
        <w:t>Promotion, tenure, and reappointment decisions are among the most important decisions made at Indiana University Indianapolis. The futures of the University, the School of Science, and the individual faculty member are largely determined by these decisions. Thus it is essential that each candidate for promotion, tenure, and reappointment be measured against specific and explicitly stated criteria and treated fairly by committee members that actively work to minimize bias, ensuring equitable treatment for all candidates throughout the promotion, tenure, and reappointment process.</w:t>
      </w:r>
    </w:p>
    <w:p w14:paraId="39291B74" w14:textId="77777777" w:rsidR="00EF1BE8" w:rsidRPr="002C0C08" w:rsidRDefault="00EF1BE8" w:rsidP="008C21A3">
      <w:pPr>
        <w:pStyle w:val="BodyText"/>
        <w:rPr>
          <w:sz w:val="20"/>
          <w:szCs w:val="20"/>
        </w:rPr>
      </w:pPr>
    </w:p>
    <w:p w14:paraId="790F0FC6" w14:textId="77777777" w:rsidR="00EF1BE8" w:rsidRPr="002C0C08" w:rsidRDefault="00342AB6" w:rsidP="008C21A3">
      <w:pPr>
        <w:pStyle w:val="BodyText"/>
        <w:ind w:left="248" w:right="476"/>
        <w:jc w:val="both"/>
        <w:rPr>
          <w:sz w:val="20"/>
          <w:szCs w:val="20"/>
        </w:rPr>
      </w:pPr>
      <w:r w:rsidRPr="002C0C08">
        <w:rPr>
          <w:sz w:val="20"/>
          <w:szCs w:val="20"/>
        </w:rPr>
        <w:t>This document establishes specific criteria and documentation guidelines to be used for promotion, tenure, and reappointment in the School of Science, while acknowledging the subjective value judgments and flexibility required by the process. Every faculty member should be apprised of these criteria and guidelines as early as reasonably possible after their initial appointment by the Department Chair. Periodic discussions with the faculty member’s Department Chair should clarify questions and uncertainties and prevent misconceptions. Further, the Department Chair will conduct annual reviews of each faculty member and provide each faculty member with unambiguous written assessments of their performance.</w:t>
      </w:r>
    </w:p>
    <w:p w14:paraId="51DD0894" w14:textId="77777777" w:rsidR="00EF1BE8" w:rsidRPr="002C0C08" w:rsidRDefault="00EF1BE8" w:rsidP="00540549">
      <w:pPr>
        <w:pStyle w:val="BodyText"/>
        <w:rPr>
          <w:sz w:val="20"/>
          <w:szCs w:val="20"/>
        </w:rPr>
      </w:pPr>
    </w:p>
    <w:p w14:paraId="6CA9EE03" w14:textId="77777777" w:rsidR="00EF1BE8" w:rsidRPr="002C0C08" w:rsidRDefault="00342AB6" w:rsidP="00540549">
      <w:pPr>
        <w:pStyle w:val="Heading4"/>
        <w:numPr>
          <w:ilvl w:val="0"/>
          <w:numId w:val="10"/>
        </w:numPr>
        <w:tabs>
          <w:tab w:val="left" w:pos="932"/>
          <w:tab w:val="left" w:pos="933"/>
        </w:tabs>
        <w:rPr>
          <w:rFonts w:ascii="Times New Roman" w:hAnsi="Times New Roman" w:cs="Times New Roman"/>
          <w:sz w:val="20"/>
          <w:szCs w:val="20"/>
        </w:rPr>
      </w:pPr>
      <w:bookmarkStart w:id="1" w:name="1.__University_Policies"/>
      <w:bookmarkEnd w:id="1"/>
      <w:r w:rsidRPr="002C0C08">
        <w:rPr>
          <w:rFonts w:ascii="Times New Roman" w:hAnsi="Times New Roman" w:cs="Times New Roman"/>
          <w:sz w:val="20"/>
          <w:szCs w:val="20"/>
        </w:rPr>
        <w:t>University Policies</w:t>
      </w:r>
    </w:p>
    <w:p w14:paraId="4E1CCDCB" w14:textId="77777777" w:rsidR="00EF1BE8" w:rsidRPr="002C0C08" w:rsidRDefault="00342AB6" w:rsidP="008C21A3">
      <w:pPr>
        <w:ind w:left="245" w:right="734"/>
        <w:contextualSpacing/>
        <w:rPr>
          <w:sz w:val="20"/>
          <w:szCs w:val="20"/>
        </w:rPr>
      </w:pPr>
      <w:r w:rsidRPr="002C0C08">
        <w:rPr>
          <w:sz w:val="20"/>
          <w:szCs w:val="20"/>
        </w:rPr>
        <w:t xml:space="preserve">Criteria for promotion and tenure for Indiana University faculty are provided in Indiana University’s </w:t>
      </w:r>
      <w:r w:rsidRPr="002C0C08">
        <w:rPr>
          <w:i/>
          <w:sz w:val="20"/>
          <w:szCs w:val="20"/>
        </w:rPr>
        <w:t>University Policies</w:t>
      </w:r>
      <w:r w:rsidRPr="002D762A">
        <w:rPr>
          <w:i/>
          <w:sz w:val="20"/>
          <w:szCs w:val="20"/>
        </w:rPr>
        <w:t>.</w:t>
      </w:r>
      <w:r w:rsidRPr="002D762A">
        <w:rPr>
          <w:position w:val="7"/>
          <w:sz w:val="20"/>
          <w:szCs w:val="20"/>
          <w:vertAlign w:val="superscript"/>
        </w:rPr>
        <w:t>1</w:t>
      </w:r>
      <w:r w:rsidRPr="002D762A">
        <w:rPr>
          <w:position w:val="7"/>
          <w:sz w:val="16"/>
          <w:szCs w:val="16"/>
        </w:rPr>
        <w:t xml:space="preserve"> </w:t>
      </w:r>
      <w:r w:rsidRPr="002C0C08">
        <w:rPr>
          <w:sz w:val="20"/>
          <w:szCs w:val="20"/>
        </w:rPr>
        <w:t xml:space="preserve">Regarding promotion, the </w:t>
      </w:r>
      <w:r w:rsidRPr="002C0C08">
        <w:rPr>
          <w:i/>
          <w:sz w:val="20"/>
          <w:szCs w:val="20"/>
        </w:rPr>
        <w:t xml:space="preserve">University Policies </w:t>
      </w:r>
      <w:r w:rsidRPr="002C0C08">
        <w:rPr>
          <w:sz w:val="20"/>
          <w:szCs w:val="20"/>
        </w:rPr>
        <w:t>state that:</w:t>
      </w:r>
    </w:p>
    <w:p w14:paraId="420FC361" w14:textId="77777777" w:rsidR="00EF1BE8" w:rsidRPr="002C0C08" w:rsidRDefault="00EF1BE8" w:rsidP="008C21A3">
      <w:pPr>
        <w:pStyle w:val="BodyText"/>
        <w:rPr>
          <w:sz w:val="20"/>
          <w:szCs w:val="20"/>
        </w:rPr>
      </w:pPr>
    </w:p>
    <w:p w14:paraId="056A67A7" w14:textId="5BFD9081" w:rsidR="00EF1BE8" w:rsidRPr="002C0C08" w:rsidRDefault="00342AB6" w:rsidP="008C21A3">
      <w:pPr>
        <w:ind w:left="968" w:right="785"/>
        <w:jc w:val="both"/>
        <w:rPr>
          <w:i/>
          <w:sz w:val="20"/>
          <w:szCs w:val="20"/>
        </w:rPr>
      </w:pPr>
      <w:r w:rsidRPr="002C0C08">
        <w:rPr>
          <w:i/>
          <w:sz w:val="20"/>
          <w:szCs w:val="20"/>
        </w:rPr>
        <w:t>Teaching, research and creative work, and services which may be administrative, professional, or public are long-standing University promotion criteria. Promotion considerations must take into account, however, differences in mission between campuses, and between schools within some campuses, as well as the individual’s contribution to the school / campus missions. The relative weight attached to the criteria above should and must vary accordingly. A candidate for promotion [or tenure] should normally excel in at least one of the above categories and be at least satisfactory (research/creative activity; service) or effective (teaching) in the others. In exceptional cases, a candidate may present evidence of balanced strengths that promise excellent overall performance of comparable benefit to the university. In all cases the candidate’s total record should be assessed by comprehensive and rigorous peer review. Promotion to any rank is a recognition of past achievement and a sign of confidence that the individual is capable of greater responsibilities</w:t>
      </w:r>
      <w:r w:rsidR="00273B3C" w:rsidRPr="002C0C08">
        <w:rPr>
          <w:i/>
          <w:sz w:val="20"/>
          <w:szCs w:val="20"/>
        </w:rPr>
        <w:t xml:space="preserve"> </w:t>
      </w:r>
      <w:r w:rsidRPr="002C0C08">
        <w:rPr>
          <w:i/>
          <w:sz w:val="20"/>
          <w:szCs w:val="20"/>
        </w:rPr>
        <w:t>and accomplishments.</w:t>
      </w:r>
      <w:r w:rsidRPr="002C0C08">
        <w:rPr>
          <w:i/>
          <w:sz w:val="20"/>
          <w:szCs w:val="20"/>
          <w:vertAlign w:val="superscript"/>
        </w:rPr>
        <w:t>2</w:t>
      </w:r>
    </w:p>
    <w:p w14:paraId="5E173195" w14:textId="77777777" w:rsidR="00EF1BE8" w:rsidRPr="002C0C08" w:rsidRDefault="00EF1BE8" w:rsidP="00540549">
      <w:pPr>
        <w:pStyle w:val="BodyText"/>
        <w:rPr>
          <w:i/>
          <w:sz w:val="20"/>
          <w:szCs w:val="20"/>
        </w:rPr>
      </w:pPr>
    </w:p>
    <w:p w14:paraId="3AD5F8A5" w14:textId="77777777" w:rsidR="00EF1BE8" w:rsidRPr="002C0C08" w:rsidRDefault="00342AB6" w:rsidP="00540549">
      <w:pPr>
        <w:ind w:left="248"/>
        <w:rPr>
          <w:sz w:val="20"/>
          <w:szCs w:val="20"/>
        </w:rPr>
      </w:pPr>
      <w:r w:rsidRPr="002C0C08">
        <w:rPr>
          <w:sz w:val="20"/>
          <w:szCs w:val="20"/>
        </w:rPr>
        <w:t xml:space="preserve">With regard to tenure, the </w:t>
      </w:r>
      <w:r w:rsidRPr="002C0C08">
        <w:rPr>
          <w:i/>
          <w:sz w:val="20"/>
          <w:szCs w:val="20"/>
        </w:rPr>
        <w:t xml:space="preserve">University Policies </w:t>
      </w:r>
      <w:r w:rsidRPr="002C0C08">
        <w:rPr>
          <w:sz w:val="20"/>
          <w:szCs w:val="20"/>
        </w:rPr>
        <w:t>state that:</w:t>
      </w:r>
    </w:p>
    <w:p w14:paraId="3DB0B1C6" w14:textId="77777777" w:rsidR="00EF1BE8" w:rsidRPr="002C0C08" w:rsidRDefault="00EF1BE8" w:rsidP="008C21A3">
      <w:pPr>
        <w:pStyle w:val="BodyText"/>
        <w:rPr>
          <w:sz w:val="20"/>
          <w:szCs w:val="20"/>
        </w:rPr>
      </w:pPr>
    </w:p>
    <w:p w14:paraId="0E85E6BB" w14:textId="7FBFBCF7" w:rsidR="00EF1BE8" w:rsidRPr="002C0C08" w:rsidRDefault="00342AB6" w:rsidP="008C21A3">
      <w:pPr>
        <w:ind w:left="968" w:right="795"/>
        <w:jc w:val="both"/>
        <w:rPr>
          <w:i/>
          <w:sz w:val="20"/>
          <w:szCs w:val="20"/>
        </w:rPr>
      </w:pPr>
      <w:r w:rsidRPr="002C0C08">
        <w:rPr>
          <w:i/>
          <w:sz w:val="20"/>
          <w:szCs w:val="20"/>
        </w:rPr>
        <w:t>After the appropriate probationary period, tenure shall be granted to those faculty members ... whose professional characteristics indicate that they will continue to serve with distinction in their appointed roles. The criteria for tenure and the criteria for promotion are similar, but not identical…. Tenure will generally not be</w:t>
      </w:r>
      <w:r w:rsidR="00882494" w:rsidRPr="002C0C08">
        <w:rPr>
          <w:i/>
          <w:sz w:val="20"/>
          <w:szCs w:val="20"/>
        </w:rPr>
        <w:t xml:space="preserve"> </w:t>
      </w:r>
      <w:r w:rsidRPr="002C0C08">
        <w:rPr>
          <w:i/>
          <w:sz w:val="20"/>
          <w:szCs w:val="20"/>
        </w:rPr>
        <w:t>conferred unless the faculty member... achieves, or gives strong promise of achieving, promotion in rank within the University.</w:t>
      </w:r>
      <w:r w:rsidRPr="002C0C08">
        <w:rPr>
          <w:i/>
          <w:sz w:val="20"/>
          <w:szCs w:val="20"/>
          <w:vertAlign w:val="superscript"/>
        </w:rPr>
        <w:t>3</w:t>
      </w:r>
    </w:p>
    <w:p w14:paraId="41F15280" w14:textId="77777777" w:rsidR="00EF1BE8" w:rsidRPr="002C0C08" w:rsidRDefault="00EF1BE8" w:rsidP="008C21A3">
      <w:pPr>
        <w:pStyle w:val="BodyText"/>
        <w:rPr>
          <w:i/>
          <w:sz w:val="20"/>
          <w:szCs w:val="20"/>
        </w:rPr>
      </w:pPr>
    </w:p>
    <w:p w14:paraId="61F6C5AD" w14:textId="77777777" w:rsidR="00EF1BE8" w:rsidRPr="002C0C08" w:rsidRDefault="00342AB6" w:rsidP="008C21A3">
      <w:pPr>
        <w:pStyle w:val="BodyText"/>
        <w:ind w:left="248" w:right="312"/>
        <w:jc w:val="both"/>
        <w:rPr>
          <w:sz w:val="20"/>
          <w:szCs w:val="20"/>
        </w:rPr>
      </w:pPr>
      <w:r w:rsidRPr="002C0C08">
        <w:rPr>
          <w:sz w:val="20"/>
          <w:szCs w:val="20"/>
        </w:rPr>
        <w:t xml:space="preserve">The </w:t>
      </w:r>
      <w:r w:rsidRPr="002C0C08">
        <w:rPr>
          <w:i/>
          <w:sz w:val="20"/>
          <w:szCs w:val="20"/>
        </w:rPr>
        <w:t xml:space="preserve">University Policies </w:t>
      </w:r>
      <w:r w:rsidRPr="002C0C08">
        <w:rPr>
          <w:sz w:val="20"/>
          <w:szCs w:val="20"/>
        </w:rPr>
        <w:t>further state that each faculty member at the rank of Associate Professor or below is to be reviewed annually. (The School of Science has further established the policy that all faculty members are to be reviewed annually.) In the annual reappointment consideration of a non- tenured faculty member, performance must be measured against the criteria for promotion and tenure. Only those faculty members judged to have the potential and promise for meeting the criteria for promotion and/or tenure by the end of their probationary periods should be recommended for reappointment.</w:t>
      </w:r>
    </w:p>
    <w:p w14:paraId="530A5B22" w14:textId="77777777" w:rsidR="00EF1BE8" w:rsidRPr="002C0C08" w:rsidRDefault="00EF1BE8" w:rsidP="008C21A3">
      <w:pPr>
        <w:pStyle w:val="BodyText"/>
        <w:rPr>
          <w:sz w:val="20"/>
          <w:szCs w:val="20"/>
        </w:rPr>
      </w:pPr>
    </w:p>
    <w:p w14:paraId="4F5706A9" w14:textId="77777777" w:rsidR="00EF1BE8" w:rsidRPr="002C0C08" w:rsidRDefault="00342AB6" w:rsidP="008C21A3">
      <w:pPr>
        <w:pStyle w:val="BodyText"/>
        <w:ind w:left="248" w:right="311"/>
        <w:jc w:val="both"/>
        <w:rPr>
          <w:sz w:val="20"/>
          <w:szCs w:val="20"/>
        </w:rPr>
      </w:pPr>
      <w:r w:rsidRPr="002C0C08">
        <w:rPr>
          <w:sz w:val="20"/>
          <w:szCs w:val="20"/>
        </w:rPr>
        <w:t>The purpose of the Third Year Review of tenure-track faculty is to provide a formative assessment (separate from the annual review) of an individual's professional development and prospects for being recommended for tenure at the end of the probationary period. This review will typically occur in the spring semester of the third year of an appointment. The “third year” will coincide with the number of tenure credit years given to the candidate plus years in rank that equal three.</w:t>
      </w:r>
    </w:p>
    <w:p w14:paraId="58A75D08" w14:textId="77777777" w:rsidR="00EF1BE8" w:rsidRPr="002C0C08" w:rsidRDefault="00EF1BE8" w:rsidP="008C21A3">
      <w:pPr>
        <w:pStyle w:val="BodyText"/>
        <w:rPr>
          <w:sz w:val="20"/>
          <w:szCs w:val="20"/>
        </w:rPr>
      </w:pPr>
    </w:p>
    <w:p w14:paraId="27A8DB5E" w14:textId="4676E90D" w:rsidR="00EF1BE8" w:rsidRPr="002C0C08" w:rsidRDefault="00342AB6" w:rsidP="008C21A3">
      <w:pPr>
        <w:pStyle w:val="BodyText"/>
        <w:ind w:left="248" w:right="298"/>
        <w:jc w:val="both"/>
        <w:rPr>
          <w:sz w:val="20"/>
          <w:szCs w:val="20"/>
        </w:rPr>
      </w:pPr>
      <w:r w:rsidRPr="002C0C08">
        <w:rPr>
          <w:sz w:val="20"/>
          <w:szCs w:val="20"/>
        </w:rPr>
        <w:t xml:space="preserve">For those candidates with 3 or more years of tenure credit, no </w:t>
      </w:r>
      <w:r w:rsidR="00EF449C" w:rsidRPr="002C0C08">
        <w:rPr>
          <w:sz w:val="20"/>
          <w:szCs w:val="20"/>
        </w:rPr>
        <w:t>third-year</w:t>
      </w:r>
      <w:r w:rsidRPr="002C0C08">
        <w:rPr>
          <w:sz w:val="20"/>
          <w:szCs w:val="20"/>
        </w:rPr>
        <w:t xml:space="preserve"> review is required. For example, one year of tenure credit implies the review will occur in the candidates second year. The </w:t>
      </w:r>
      <w:r w:rsidR="00EF449C" w:rsidRPr="002C0C08">
        <w:rPr>
          <w:sz w:val="20"/>
          <w:szCs w:val="20"/>
        </w:rPr>
        <w:t>timeline</w:t>
      </w:r>
      <w:r w:rsidRPr="002C0C08">
        <w:rPr>
          <w:sz w:val="20"/>
          <w:szCs w:val="20"/>
        </w:rPr>
        <w:t xml:space="preserve"> for this review will be appropriate to meeting the deadline announced by the Dean of Faculties Calendar.</w:t>
      </w:r>
    </w:p>
    <w:p w14:paraId="13F4685D" w14:textId="77777777" w:rsidR="00EF1BE8" w:rsidRPr="002C0C08" w:rsidRDefault="00EF1BE8" w:rsidP="00540549">
      <w:pPr>
        <w:pStyle w:val="BodyText"/>
        <w:rPr>
          <w:sz w:val="20"/>
          <w:szCs w:val="20"/>
        </w:rPr>
      </w:pPr>
    </w:p>
    <w:p w14:paraId="1B3F1F8A" w14:textId="78AA5CB1" w:rsidR="00EF1BE8" w:rsidRPr="002C0C08" w:rsidRDefault="00B8385B" w:rsidP="00540549">
      <w:pPr>
        <w:pStyle w:val="Heading4"/>
        <w:numPr>
          <w:ilvl w:val="0"/>
          <w:numId w:val="10"/>
        </w:numPr>
        <w:tabs>
          <w:tab w:val="left" w:pos="877"/>
          <w:tab w:val="left" w:pos="878"/>
        </w:tabs>
        <w:ind w:left="877" w:hanging="721"/>
        <w:rPr>
          <w:rFonts w:ascii="Times New Roman" w:hAnsi="Times New Roman" w:cs="Times New Roman"/>
          <w:sz w:val="20"/>
          <w:szCs w:val="20"/>
        </w:rPr>
      </w:pPr>
      <w:bookmarkStart w:id="2" w:name="2._IUPUI_Faculty_Guide"/>
      <w:bookmarkEnd w:id="2"/>
      <w:r w:rsidRPr="002C0C08">
        <w:rPr>
          <w:rFonts w:ascii="Times New Roman" w:hAnsi="Times New Roman" w:cs="Times New Roman"/>
          <w:sz w:val="20"/>
          <w:szCs w:val="20"/>
        </w:rPr>
        <w:t>Indiana University Indianapolis Faculty Guide</w:t>
      </w:r>
    </w:p>
    <w:p w14:paraId="5FA9C14E" w14:textId="71991D40" w:rsidR="00EF1BE8" w:rsidRPr="002C0C08" w:rsidRDefault="00342AB6" w:rsidP="0031171C">
      <w:pPr>
        <w:pStyle w:val="BodyText"/>
        <w:ind w:left="247" w:right="313"/>
        <w:jc w:val="both"/>
        <w:rPr>
          <w:sz w:val="20"/>
          <w:szCs w:val="20"/>
        </w:rPr>
      </w:pPr>
      <w:r w:rsidRPr="002C0C08">
        <w:rPr>
          <w:sz w:val="20"/>
          <w:szCs w:val="20"/>
        </w:rPr>
        <w:t xml:space="preserve">While Indiana University’s </w:t>
      </w:r>
      <w:r w:rsidRPr="002C0C08">
        <w:rPr>
          <w:i/>
          <w:sz w:val="20"/>
          <w:szCs w:val="20"/>
        </w:rPr>
        <w:t xml:space="preserve">University Policies </w:t>
      </w:r>
      <w:r w:rsidRPr="002C0C08">
        <w:rPr>
          <w:sz w:val="20"/>
          <w:szCs w:val="20"/>
        </w:rPr>
        <w:t xml:space="preserve">provides general criteria that apply to all Indiana University faculty, criteria and documentation guidelines that apply specifically to </w:t>
      </w:r>
      <w:r w:rsidR="00B8385B" w:rsidRPr="002C0C08">
        <w:rPr>
          <w:sz w:val="20"/>
          <w:szCs w:val="20"/>
        </w:rPr>
        <w:t>Indiana University Indianapolis</w:t>
      </w:r>
      <w:r w:rsidRPr="002C0C08">
        <w:rPr>
          <w:sz w:val="20"/>
          <w:szCs w:val="20"/>
        </w:rPr>
        <w:t xml:space="preserve"> faculty are provided by the </w:t>
      </w:r>
      <w:r w:rsidR="00B8385B" w:rsidRPr="002C0C08">
        <w:rPr>
          <w:sz w:val="20"/>
          <w:szCs w:val="20"/>
        </w:rPr>
        <w:t xml:space="preserve">Indiana University Indianapolis </w:t>
      </w:r>
      <w:r w:rsidRPr="002C0C08">
        <w:rPr>
          <w:i/>
          <w:sz w:val="20"/>
          <w:szCs w:val="20"/>
        </w:rPr>
        <w:t>Faculty Guide</w:t>
      </w:r>
      <w:r w:rsidRPr="002C0C08">
        <w:rPr>
          <w:sz w:val="20"/>
          <w:szCs w:val="20"/>
        </w:rPr>
        <w:t xml:space="preserve">. In addition, the </w:t>
      </w:r>
      <w:r w:rsidRPr="002C0C08">
        <w:rPr>
          <w:i/>
          <w:sz w:val="20"/>
          <w:szCs w:val="20"/>
        </w:rPr>
        <w:t xml:space="preserve">Faculty Guide </w:t>
      </w:r>
      <w:r w:rsidRPr="002C0C08">
        <w:rPr>
          <w:sz w:val="20"/>
          <w:szCs w:val="20"/>
        </w:rPr>
        <w:t xml:space="preserve">describes the procedures that constitute the promotion and tenure process and the documentation that constitutes the basic promotion and tenure dossier for </w:t>
      </w:r>
      <w:r w:rsidR="00B8385B" w:rsidRPr="002C0C08">
        <w:rPr>
          <w:sz w:val="20"/>
          <w:szCs w:val="20"/>
        </w:rPr>
        <w:t xml:space="preserve">Indiana University Indianapolis </w:t>
      </w:r>
      <w:r w:rsidRPr="002C0C08">
        <w:rPr>
          <w:sz w:val="20"/>
          <w:szCs w:val="20"/>
        </w:rPr>
        <w:t xml:space="preserve">faculty. All candidates should be familiar with the formal policies and procedures concerning promotion and tenure found in the </w:t>
      </w:r>
      <w:r w:rsidR="00B8385B" w:rsidRPr="002C0C08">
        <w:rPr>
          <w:sz w:val="20"/>
          <w:szCs w:val="20"/>
        </w:rPr>
        <w:t xml:space="preserve">Indiana University Indianapolis </w:t>
      </w:r>
      <w:r w:rsidRPr="002C0C08">
        <w:rPr>
          <w:i/>
          <w:sz w:val="20"/>
          <w:szCs w:val="20"/>
        </w:rPr>
        <w:t xml:space="preserve">Faculty Guide </w:t>
      </w:r>
      <w:r w:rsidRPr="002C0C08">
        <w:rPr>
          <w:sz w:val="20"/>
          <w:szCs w:val="20"/>
        </w:rPr>
        <w:t>(available on the Faculty Council website:</w:t>
      </w:r>
      <w:r w:rsidR="00164280" w:rsidRPr="002C0C08">
        <w:rPr>
          <w:sz w:val="20"/>
          <w:szCs w:val="20"/>
        </w:rPr>
        <w:t xml:space="preserve"> </w:t>
      </w:r>
      <w:hyperlink r:id="rId14" w:history="1">
        <w:r w:rsidR="00164280" w:rsidRPr="002C0C08">
          <w:rPr>
            <w:rStyle w:val="Hyperlink"/>
            <w:i/>
            <w:iCs/>
            <w:sz w:val="20"/>
            <w:szCs w:val="20"/>
          </w:rPr>
          <w:t>https://facultycouncil.indianapolis.iu.edu/Governance/IU-Indianapolis-Faculty-Guide</w:t>
        </w:r>
      </w:hyperlink>
      <w:r w:rsidR="00164280" w:rsidRPr="002C0C08">
        <w:rPr>
          <w:i/>
          <w:iCs/>
          <w:sz w:val="20"/>
          <w:szCs w:val="20"/>
        </w:rPr>
        <w:t>)</w:t>
      </w:r>
      <w:r w:rsidR="00164280" w:rsidRPr="002C0C08">
        <w:rPr>
          <w:sz w:val="20"/>
          <w:szCs w:val="20"/>
        </w:rPr>
        <w:t xml:space="preserve"> </w:t>
      </w:r>
    </w:p>
    <w:p w14:paraId="0E69B4D1" w14:textId="77777777" w:rsidR="00EF1BE8" w:rsidRPr="002C0C08" w:rsidRDefault="00EF1BE8" w:rsidP="008C21A3">
      <w:pPr>
        <w:pStyle w:val="BodyText"/>
        <w:rPr>
          <w:sz w:val="20"/>
          <w:szCs w:val="20"/>
        </w:rPr>
      </w:pPr>
    </w:p>
    <w:p w14:paraId="084A637C" w14:textId="6A4F3D5A" w:rsidR="00EF1BE8" w:rsidRPr="002C0C08" w:rsidRDefault="00B8385B" w:rsidP="008C21A3">
      <w:pPr>
        <w:pStyle w:val="Heading4"/>
        <w:numPr>
          <w:ilvl w:val="0"/>
          <w:numId w:val="10"/>
        </w:numPr>
        <w:tabs>
          <w:tab w:val="left" w:pos="877"/>
          <w:tab w:val="left" w:pos="878"/>
        </w:tabs>
        <w:ind w:left="877" w:right="535" w:hanging="720"/>
        <w:rPr>
          <w:rFonts w:ascii="Times New Roman" w:hAnsi="Times New Roman" w:cs="Times New Roman"/>
          <w:sz w:val="20"/>
          <w:szCs w:val="20"/>
        </w:rPr>
      </w:pPr>
      <w:bookmarkStart w:id="3" w:name="3._IUPUI_Chief_Academic_Officer’s_Guidel"/>
      <w:bookmarkEnd w:id="3"/>
      <w:r w:rsidRPr="002C0C08">
        <w:rPr>
          <w:rFonts w:ascii="Times New Roman" w:hAnsi="Times New Roman" w:cs="Times New Roman"/>
          <w:sz w:val="20"/>
          <w:szCs w:val="20"/>
        </w:rPr>
        <w:t>Indiana University Indianapolis Chief Academic Officer’s Guidelines for Preparing and Reviewing Promotion and Tenure Dossiers</w:t>
      </w:r>
    </w:p>
    <w:p w14:paraId="28D7504F" w14:textId="30AF4D4F" w:rsidR="00EF1BE8" w:rsidRPr="002C0C08" w:rsidRDefault="00342AB6" w:rsidP="00B2416E">
      <w:pPr>
        <w:pStyle w:val="BodyText"/>
        <w:ind w:left="248" w:right="313"/>
        <w:jc w:val="both"/>
        <w:rPr>
          <w:sz w:val="20"/>
          <w:szCs w:val="20"/>
        </w:rPr>
      </w:pPr>
      <w:r w:rsidRPr="002C0C08">
        <w:rPr>
          <w:sz w:val="20"/>
          <w:szCs w:val="20"/>
        </w:rPr>
        <w:t xml:space="preserve">Annually, the Chief Academic Officer distributes updated guidelines for submission of promotion and tenure documents. This document should be consulted for additional information regarding perspectives on the content of promotion and tenure dossiers and the use of the </w:t>
      </w:r>
      <w:r w:rsidR="00F33BE5" w:rsidRPr="002C0C08">
        <w:rPr>
          <w:iCs/>
          <w:sz w:val="20"/>
          <w:szCs w:val="20"/>
        </w:rPr>
        <w:t xml:space="preserve">appropriate online </w:t>
      </w:r>
      <w:r w:rsidRPr="002C0C08">
        <w:rPr>
          <w:sz w:val="20"/>
          <w:szCs w:val="20"/>
        </w:rPr>
        <w:t>system. In general, when conflicts arise between the Chief Academic Officer’s Guidelines and those described here, it is recommended that the procedures indicated within the Chief Academic Officer’s Guidelines should be followed. The standards and criteria herein apply to the School of Science and accurately reflect the historical perspective and evolving opinions of the Unit Committee.</w:t>
      </w:r>
    </w:p>
    <w:p w14:paraId="6730AC61" w14:textId="77777777" w:rsidR="00EF1BE8" w:rsidRPr="002C0C08" w:rsidRDefault="00EF1BE8" w:rsidP="008C21A3">
      <w:pPr>
        <w:pStyle w:val="BodyText"/>
        <w:rPr>
          <w:sz w:val="20"/>
          <w:szCs w:val="20"/>
        </w:rPr>
      </w:pPr>
    </w:p>
    <w:p w14:paraId="51520298" w14:textId="612F2B9E" w:rsidR="00EF1BE8" w:rsidRPr="002C0C08" w:rsidRDefault="00342AB6" w:rsidP="008C21A3">
      <w:pPr>
        <w:pStyle w:val="Heading4"/>
        <w:numPr>
          <w:ilvl w:val="0"/>
          <w:numId w:val="10"/>
        </w:numPr>
        <w:tabs>
          <w:tab w:val="left" w:pos="877"/>
          <w:tab w:val="left" w:pos="878"/>
        </w:tabs>
        <w:ind w:left="877" w:right="896" w:hanging="720"/>
        <w:rPr>
          <w:rFonts w:ascii="Times New Roman" w:hAnsi="Times New Roman" w:cs="Times New Roman"/>
          <w:sz w:val="20"/>
          <w:szCs w:val="20"/>
        </w:rPr>
      </w:pPr>
      <w:bookmarkStart w:id="4" w:name="4._The_Purdue_University_Criteria_for_Pr"/>
      <w:bookmarkEnd w:id="4"/>
      <w:r w:rsidRPr="002C0C08">
        <w:rPr>
          <w:rFonts w:ascii="Times New Roman" w:hAnsi="Times New Roman" w:cs="Times New Roman"/>
          <w:sz w:val="20"/>
          <w:szCs w:val="20"/>
        </w:rPr>
        <w:t xml:space="preserve">The IU Criteria for </w:t>
      </w:r>
      <w:r w:rsidR="000813B5" w:rsidRPr="002C0C08">
        <w:rPr>
          <w:rFonts w:ascii="Times New Roman" w:hAnsi="Times New Roman" w:cs="Times New Roman"/>
          <w:sz w:val="20"/>
          <w:szCs w:val="20"/>
        </w:rPr>
        <w:t xml:space="preserve">Non-Tenure Track </w:t>
      </w:r>
      <w:r w:rsidRPr="002C0C08">
        <w:rPr>
          <w:rFonts w:ascii="Times New Roman" w:hAnsi="Times New Roman" w:cs="Times New Roman"/>
          <w:sz w:val="20"/>
          <w:szCs w:val="20"/>
        </w:rPr>
        <w:t>Ranks</w:t>
      </w:r>
    </w:p>
    <w:p w14:paraId="181D1560" w14:textId="77777777" w:rsidR="007F14CF" w:rsidRPr="002C0C08" w:rsidRDefault="007F14CF" w:rsidP="0031171C">
      <w:pPr>
        <w:pStyle w:val="BodyText"/>
        <w:rPr>
          <w:i/>
          <w:sz w:val="20"/>
          <w:szCs w:val="20"/>
        </w:rPr>
      </w:pPr>
    </w:p>
    <w:p w14:paraId="5862DF49" w14:textId="1BA7F7CA" w:rsidR="00EF1BE8" w:rsidRPr="002C0C08" w:rsidRDefault="00342AB6" w:rsidP="008C21A3">
      <w:pPr>
        <w:pStyle w:val="BodyText"/>
        <w:ind w:left="248" w:right="308"/>
        <w:jc w:val="both"/>
        <w:rPr>
          <w:sz w:val="20"/>
          <w:szCs w:val="20"/>
        </w:rPr>
      </w:pPr>
      <w:r w:rsidRPr="002C0C08">
        <w:rPr>
          <w:sz w:val="20"/>
          <w:szCs w:val="20"/>
        </w:rPr>
        <w:t xml:space="preserve">Indiana University originally introduced the ranks of Lecturer and Senior Lecturer applicable to faculty appointments in the School of Science. On June 14, 2019, the IU Board of Trustees approved the creation of a rank, “Teaching Professor,” higher than Senior Lecturer. As stated in University Faculty Council ACA-18 (April 23, 2019), “Lecturers/Teaching Professors are non-tenure- track academic appointees whose primary responsibility is teaching. Lecturers/Teaching Professors’ assigned responsibilities may include research and service only in support of teaching.” The </w:t>
      </w:r>
      <w:r w:rsidR="00B8385B" w:rsidRPr="002C0C08">
        <w:rPr>
          <w:sz w:val="20"/>
          <w:szCs w:val="20"/>
        </w:rPr>
        <w:t>Indiana University Indianapolis</w:t>
      </w:r>
      <w:r w:rsidRPr="002C0C08">
        <w:rPr>
          <w:sz w:val="20"/>
          <w:szCs w:val="20"/>
        </w:rPr>
        <w:t xml:space="preserve"> </w:t>
      </w:r>
      <w:r w:rsidRPr="002C0C08">
        <w:rPr>
          <w:i/>
          <w:sz w:val="20"/>
          <w:szCs w:val="20"/>
        </w:rPr>
        <w:t xml:space="preserve">Faculty Guide </w:t>
      </w:r>
      <w:r w:rsidRPr="002C0C08">
        <w:rPr>
          <w:sz w:val="20"/>
          <w:szCs w:val="20"/>
        </w:rPr>
        <w:t>states:</w:t>
      </w:r>
    </w:p>
    <w:p w14:paraId="641CEA21" w14:textId="77777777" w:rsidR="00EF1BE8" w:rsidRPr="002C0C08" w:rsidRDefault="00EF1BE8" w:rsidP="008C21A3">
      <w:pPr>
        <w:pStyle w:val="BodyText"/>
        <w:rPr>
          <w:sz w:val="20"/>
          <w:szCs w:val="20"/>
        </w:rPr>
      </w:pPr>
    </w:p>
    <w:p w14:paraId="444EE26F" w14:textId="77777777" w:rsidR="00EF1BE8" w:rsidRPr="002C0C08" w:rsidRDefault="00342AB6" w:rsidP="00540549">
      <w:pPr>
        <w:ind w:left="968"/>
        <w:jc w:val="both"/>
        <w:rPr>
          <w:b/>
          <w:i/>
          <w:sz w:val="20"/>
          <w:szCs w:val="20"/>
        </w:rPr>
      </w:pPr>
      <w:r w:rsidRPr="002C0C08">
        <w:rPr>
          <w:i/>
          <w:sz w:val="20"/>
          <w:szCs w:val="20"/>
          <w:u w:val="single"/>
        </w:rPr>
        <w:t>Senior Lecturer</w:t>
      </w:r>
      <w:r w:rsidRPr="002C0C08">
        <w:rPr>
          <w:b/>
          <w:i/>
          <w:sz w:val="20"/>
          <w:szCs w:val="20"/>
          <w:u w:val="single"/>
        </w:rPr>
        <w:t>:</w:t>
      </w:r>
    </w:p>
    <w:p w14:paraId="5D3B0880" w14:textId="5EB2CF9D" w:rsidR="00EF1BE8" w:rsidRPr="002C0C08" w:rsidRDefault="00342AB6" w:rsidP="008C21A3">
      <w:pPr>
        <w:ind w:left="1328" w:right="793"/>
        <w:jc w:val="both"/>
        <w:rPr>
          <w:i/>
          <w:sz w:val="20"/>
          <w:szCs w:val="20"/>
        </w:rPr>
      </w:pPr>
      <w:r w:rsidRPr="002C0C08">
        <w:rPr>
          <w:i/>
          <w:sz w:val="20"/>
          <w:szCs w:val="20"/>
        </w:rPr>
        <w:t>Promotion to Senior Lecturer is based on demonstration of excellence in teaching, with at least satisfactory performance in service. Senior Lecturers are ordinarily expected to provide leadership in teaching and to contribute to course and curriculum development. Senior Lecturers may have organizational and</w:t>
      </w:r>
      <w:r w:rsidR="009C2E17" w:rsidRPr="002C0C08">
        <w:rPr>
          <w:i/>
          <w:sz w:val="20"/>
          <w:szCs w:val="20"/>
        </w:rPr>
        <w:t xml:space="preserve"> </w:t>
      </w:r>
      <w:r w:rsidRPr="002C0C08">
        <w:rPr>
          <w:i/>
          <w:sz w:val="20"/>
          <w:szCs w:val="20"/>
        </w:rPr>
        <w:t>oversight responsibilities for a course, participate in course and curriculum development, and, where appropriate, provide workshops for colleagues. They may oversee and provide mentoring for full and part-time non-tenure track faculty. Senior Lecturers may also make school and campus contributions beyond the classroom, such as campus service or other professional activities related to teaching and service.</w:t>
      </w:r>
    </w:p>
    <w:p w14:paraId="3CC1FF40" w14:textId="77777777" w:rsidR="00EF1BE8" w:rsidRPr="002C0C08" w:rsidRDefault="00EF1BE8" w:rsidP="008C21A3">
      <w:pPr>
        <w:pStyle w:val="BodyText"/>
        <w:rPr>
          <w:i/>
          <w:sz w:val="20"/>
          <w:szCs w:val="20"/>
        </w:rPr>
      </w:pPr>
    </w:p>
    <w:p w14:paraId="796A118A" w14:textId="77777777" w:rsidR="00EF1BE8" w:rsidRPr="002C0C08" w:rsidRDefault="00342AB6" w:rsidP="008C21A3">
      <w:pPr>
        <w:ind w:left="968"/>
        <w:jc w:val="both"/>
        <w:rPr>
          <w:sz w:val="20"/>
          <w:szCs w:val="20"/>
        </w:rPr>
      </w:pPr>
      <w:r w:rsidRPr="002C0C08">
        <w:rPr>
          <w:i/>
          <w:sz w:val="20"/>
          <w:szCs w:val="20"/>
          <w:u w:val="single"/>
        </w:rPr>
        <w:t>Teaching Professor</w:t>
      </w:r>
      <w:r w:rsidRPr="002C0C08">
        <w:rPr>
          <w:sz w:val="20"/>
          <w:szCs w:val="20"/>
        </w:rPr>
        <w:t>:</w:t>
      </w:r>
    </w:p>
    <w:p w14:paraId="752FCC6C" w14:textId="77777777" w:rsidR="00EF1BE8" w:rsidRPr="002C0C08" w:rsidRDefault="00342AB6" w:rsidP="008C21A3">
      <w:pPr>
        <w:ind w:left="1329" w:right="795" w:hanging="1"/>
        <w:jc w:val="both"/>
        <w:rPr>
          <w:sz w:val="20"/>
          <w:szCs w:val="20"/>
        </w:rPr>
      </w:pPr>
      <w:r w:rsidRPr="002C0C08">
        <w:rPr>
          <w:i/>
          <w:sz w:val="20"/>
          <w:szCs w:val="20"/>
        </w:rPr>
        <w:t>Promotion to Teaching Professor is based on a demonstration of excellence in instruction accompanied by a record of publicly disseminated and peer reviewed scholarship in teaching. In addition, excellence needs to be achieved in one of three areas: course or curricular development, mentoring and advising, or service in support of teaching and learning. Promotion to Teaching Professor must have at least satisfactory performance in service</w:t>
      </w:r>
      <w:r w:rsidRPr="002C0C08">
        <w:rPr>
          <w:sz w:val="20"/>
          <w:szCs w:val="20"/>
        </w:rPr>
        <w:t>.</w:t>
      </w:r>
    </w:p>
    <w:p w14:paraId="45C23DA6" w14:textId="77777777" w:rsidR="00EF1BE8" w:rsidRPr="002C0C08" w:rsidRDefault="00EF1BE8" w:rsidP="008C21A3">
      <w:pPr>
        <w:pStyle w:val="BodyText"/>
        <w:rPr>
          <w:sz w:val="20"/>
          <w:szCs w:val="20"/>
        </w:rPr>
      </w:pPr>
    </w:p>
    <w:p w14:paraId="47C3F13B" w14:textId="77777777" w:rsidR="00EF1BE8" w:rsidRPr="002C0C08" w:rsidRDefault="00342AB6" w:rsidP="008C21A3">
      <w:pPr>
        <w:pStyle w:val="BodyText"/>
        <w:ind w:left="248" w:right="739"/>
        <w:rPr>
          <w:sz w:val="20"/>
          <w:szCs w:val="20"/>
        </w:rPr>
      </w:pPr>
      <w:r w:rsidRPr="002C0C08">
        <w:rPr>
          <w:sz w:val="20"/>
          <w:szCs w:val="20"/>
        </w:rPr>
        <w:t>The criteria for promotion to Senior Lecturer and for promotion to Teaching Professor are provided in Section F.</w:t>
      </w:r>
    </w:p>
    <w:p w14:paraId="4959DF81" w14:textId="77777777" w:rsidR="0031171C" w:rsidRPr="002C0C08" w:rsidRDefault="0031171C" w:rsidP="0031171C">
      <w:pPr>
        <w:ind w:left="1328" w:right="585"/>
        <w:rPr>
          <w:rStyle w:val="normaltextrun"/>
          <w:sz w:val="20"/>
          <w:szCs w:val="20"/>
          <w:highlight w:val="yellow"/>
        </w:rPr>
      </w:pPr>
    </w:p>
    <w:p w14:paraId="17E04530" w14:textId="77777777" w:rsidR="0031171C" w:rsidRPr="002C0C08" w:rsidRDefault="0031171C" w:rsidP="0031171C">
      <w:pPr>
        <w:ind w:left="270" w:right="585"/>
        <w:rPr>
          <w:rStyle w:val="normaltextrun"/>
          <w:i/>
          <w:sz w:val="20"/>
          <w:szCs w:val="20"/>
        </w:rPr>
      </w:pPr>
      <w:r w:rsidRPr="002C0C08">
        <w:rPr>
          <w:rStyle w:val="normaltextrun"/>
          <w:sz w:val="20"/>
          <w:szCs w:val="20"/>
        </w:rPr>
        <w:t xml:space="preserve">Indiana University guidelines govern other non-tenure track appointments in the School of Science. </w:t>
      </w:r>
      <w:r w:rsidRPr="002C0C08">
        <w:rPr>
          <w:sz w:val="20"/>
          <w:szCs w:val="20"/>
        </w:rPr>
        <w:t xml:space="preserve">With respect to Scientist ranks (non-tenure-track) </w:t>
      </w:r>
      <w:r w:rsidRPr="002C0C08">
        <w:rPr>
          <w:rStyle w:val="normaltextrun"/>
          <w:sz w:val="20"/>
          <w:szCs w:val="20"/>
        </w:rPr>
        <w:t xml:space="preserve">the current IU Indianapolis guidelines </w:t>
      </w:r>
      <w:r w:rsidRPr="002C0C08">
        <w:rPr>
          <w:sz w:val="20"/>
          <w:szCs w:val="20"/>
        </w:rPr>
        <w:t xml:space="preserve">for Preparing and Reviewing Promotion and Tenure Dossiers </w:t>
      </w:r>
      <w:r w:rsidRPr="002C0C08">
        <w:rPr>
          <w:rStyle w:val="normaltextrun"/>
          <w:sz w:val="20"/>
          <w:szCs w:val="20"/>
        </w:rPr>
        <w:t>state that for promotion:</w:t>
      </w:r>
    </w:p>
    <w:p w14:paraId="11CAF671" w14:textId="77777777" w:rsidR="0031171C" w:rsidRPr="002C0C08" w:rsidRDefault="0031171C" w:rsidP="0031171C">
      <w:pPr>
        <w:ind w:right="585"/>
        <w:rPr>
          <w:rStyle w:val="normaltextrun"/>
          <w:sz w:val="20"/>
          <w:szCs w:val="20"/>
        </w:rPr>
      </w:pPr>
    </w:p>
    <w:p w14:paraId="325D02C7" w14:textId="77777777" w:rsidR="0031171C" w:rsidRPr="002C0C08" w:rsidRDefault="0031171C" w:rsidP="0031171C">
      <w:pPr>
        <w:ind w:left="1328" w:right="585"/>
        <w:rPr>
          <w:rStyle w:val="normaltextrun"/>
          <w:i/>
          <w:iCs/>
          <w:sz w:val="20"/>
          <w:szCs w:val="20"/>
          <w:u w:val="single"/>
        </w:rPr>
      </w:pPr>
      <w:r w:rsidRPr="002C0C08">
        <w:rPr>
          <w:rStyle w:val="normaltextrun"/>
          <w:b/>
          <w:bCs/>
          <w:i/>
          <w:iCs/>
          <w:sz w:val="20"/>
          <w:szCs w:val="20"/>
          <w:u w:val="single"/>
        </w:rPr>
        <w:t xml:space="preserve">Research scientists/scholars </w:t>
      </w:r>
      <w:r w:rsidRPr="002C0C08">
        <w:rPr>
          <w:rStyle w:val="normaltextrun"/>
          <w:i/>
          <w:iCs/>
          <w:sz w:val="20"/>
          <w:szCs w:val="20"/>
          <w:u w:val="single"/>
        </w:rPr>
        <w:t xml:space="preserve">must document excellence in research and, if specified by the unit, must engage in department, school, and/or external service. </w:t>
      </w:r>
    </w:p>
    <w:p w14:paraId="354048D6" w14:textId="77777777" w:rsidR="0031171C" w:rsidRPr="002C0C08" w:rsidRDefault="0031171C" w:rsidP="0031171C">
      <w:pPr>
        <w:ind w:right="585"/>
        <w:rPr>
          <w:rStyle w:val="normaltextrun"/>
          <w:sz w:val="20"/>
          <w:szCs w:val="20"/>
        </w:rPr>
      </w:pPr>
    </w:p>
    <w:p w14:paraId="7E370A96" w14:textId="43BBDC49" w:rsidR="0031171C" w:rsidRPr="002C0C08" w:rsidRDefault="0031171C" w:rsidP="0031171C">
      <w:pPr>
        <w:ind w:left="1328" w:right="585"/>
        <w:rPr>
          <w:rStyle w:val="eop"/>
          <w:i/>
          <w:iCs/>
          <w:sz w:val="20"/>
          <w:szCs w:val="20"/>
        </w:rPr>
      </w:pPr>
      <w:r w:rsidRPr="002C0C08">
        <w:rPr>
          <w:rStyle w:val="normaltextrun"/>
          <w:b/>
          <w:bCs/>
          <w:i/>
          <w:iCs/>
          <w:sz w:val="20"/>
          <w:szCs w:val="20"/>
        </w:rPr>
        <w:t>Clinical faculty</w:t>
      </w:r>
      <w:r w:rsidRPr="002C0C08">
        <w:rPr>
          <w:rStyle w:val="normaltextrun"/>
          <w:i/>
          <w:iCs/>
          <w:sz w:val="20"/>
          <w:szCs w:val="20"/>
        </w:rPr>
        <w:t xml:space="preserve"> may be involved in research that derives from their primary assignment in clinical teaching and</w:t>
      </w:r>
      <w:r w:rsidR="00DF5CE1" w:rsidRPr="002C0C08">
        <w:rPr>
          <w:rStyle w:val="normaltextrun"/>
          <w:i/>
          <w:iCs/>
          <w:sz w:val="20"/>
          <w:szCs w:val="20"/>
        </w:rPr>
        <w:t xml:space="preserve"> administrative or</w:t>
      </w:r>
      <w:r w:rsidRPr="002C0C08">
        <w:rPr>
          <w:rStyle w:val="normaltextrun"/>
          <w:i/>
          <w:iCs/>
          <w:sz w:val="20"/>
          <w:szCs w:val="20"/>
        </w:rPr>
        <w:t xml:space="preserve"> professional service; however, continued appointment and advancement in rank must be based on performance in clinical teaching and service.</w:t>
      </w:r>
      <w:r w:rsidRPr="002C0C08">
        <w:rPr>
          <w:rStyle w:val="eop"/>
          <w:i/>
          <w:iCs/>
          <w:sz w:val="20"/>
          <w:szCs w:val="20"/>
        </w:rPr>
        <w:t> </w:t>
      </w:r>
    </w:p>
    <w:p w14:paraId="7A4B6C4B" w14:textId="71B79EFE" w:rsidR="000813B5" w:rsidRPr="002C0C08" w:rsidRDefault="000813B5" w:rsidP="00AA54CD">
      <w:pPr>
        <w:ind w:left="1328" w:right="585"/>
        <w:rPr>
          <w:sz w:val="20"/>
          <w:szCs w:val="20"/>
        </w:rPr>
      </w:pPr>
      <w:r w:rsidRPr="002C0C08">
        <w:rPr>
          <w:sz w:val="20"/>
          <w:szCs w:val="20"/>
        </w:rPr>
        <w:br/>
        <w:t>The criteria for promotion to Associate Clinical</w:t>
      </w:r>
      <w:r w:rsidR="002B75B8" w:rsidRPr="002C0C08">
        <w:rPr>
          <w:sz w:val="20"/>
          <w:szCs w:val="20"/>
        </w:rPr>
        <w:t xml:space="preserve"> Professor and Clinical Professor</w:t>
      </w:r>
      <w:r w:rsidRPr="002C0C08">
        <w:rPr>
          <w:sz w:val="20"/>
          <w:szCs w:val="20"/>
        </w:rPr>
        <w:t xml:space="preserve"> are provided in Section F.</w:t>
      </w:r>
    </w:p>
    <w:p w14:paraId="3089E3DC" w14:textId="77777777" w:rsidR="000813B5" w:rsidRPr="002C0C08" w:rsidRDefault="000813B5" w:rsidP="008C21A3">
      <w:pPr>
        <w:ind w:left="156" w:right="585"/>
        <w:rPr>
          <w:i/>
          <w:iCs/>
          <w:sz w:val="20"/>
          <w:szCs w:val="20"/>
        </w:rPr>
      </w:pPr>
    </w:p>
    <w:p w14:paraId="1BC38CAC" w14:textId="77777777" w:rsidR="00EF1BE8" w:rsidRPr="002C0C08" w:rsidRDefault="00EF1BE8" w:rsidP="008C21A3">
      <w:pPr>
        <w:pStyle w:val="BodyText"/>
        <w:rPr>
          <w:i/>
          <w:sz w:val="20"/>
          <w:szCs w:val="20"/>
        </w:rPr>
      </w:pPr>
    </w:p>
    <w:p w14:paraId="37F863E6" w14:textId="77777777" w:rsidR="00EF1BE8" w:rsidRPr="002C0C08" w:rsidRDefault="00342AB6" w:rsidP="008C21A3">
      <w:pPr>
        <w:pStyle w:val="Heading4"/>
        <w:numPr>
          <w:ilvl w:val="0"/>
          <w:numId w:val="10"/>
        </w:numPr>
        <w:tabs>
          <w:tab w:val="left" w:pos="877"/>
          <w:tab w:val="left" w:pos="878"/>
        </w:tabs>
        <w:ind w:left="877" w:hanging="721"/>
        <w:rPr>
          <w:rFonts w:ascii="Times New Roman" w:hAnsi="Times New Roman" w:cs="Times New Roman"/>
          <w:sz w:val="20"/>
          <w:szCs w:val="20"/>
        </w:rPr>
      </w:pPr>
      <w:bookmarkStart w:id="5" w:name="5._The_School_of_Science_Criteria"/>
      <w:bookmarkEnd w:id="5"/>
      <w:r w:rsidRPr="002C0C08">
        <w:rPr>
          <w:rFonts w:ascii="Times New Roman" w:hAnsi="Times New Roman" w:cs="Times New Roman"/>
          <w:sz w:val="20"/>
          <w:szCs w:val="20"/>
        </w:rPr>
        <w:t>The School of Science Criteria</w:t>
      </w:r>
    </w:p>
    <w:p w14:paraId="4F1D37FC" w14:textId="3F6B8029" w:rsidR="00EF1BE8" w:rsidRPr="002C0C08" w:rsidRDefault="00540549" w:rsidP="008C21A3">
      <w:pPr>
        <w:pStyle w:val="BodyText"/>
        <w:ind w:left="248" w:right="118" w:hanging="3"/>
        <w:jc w:val="both"/>
        <w:rPr>
          <w:sz w:val="20"/>
          <w:szCs w:val="20"/>
        </w:rPr>
      </w:pPr>
      <w:r w:rsidRPr="002C0C08">
        <w:rPr>
          <w:sz w:val="20"/>
          <w:szCs w:val="20"/>
        </w:rPr>
        <w:br/>
      </w:r>
      <w:r w:rsidR="00342AB6" w:rsidRPr="002C0C08">
        <w:rPr>
          <w:sz w:val="20"/>
          <w:szCs w:val="20"/>
        </w:rPr>
        <w:t xml:space="preserve">The criteria specified by Indiana University’s </w:t>
      </w:r>
      <w:r w:rsidR="00342AB6" w:rsidRPr="002C0C08">
        <w:rPr>
          <w:i/>
          <w:sz w:val="20"/>
          <w:szCs w:val="20"/>
        </w:rPr>
        <w:t>University Policies</w:t>
      </w:r>
      <w:r w:rsidR="003D69F4" w:rsidRPr="002C0C08">
        <w:rPr>
          <w:sz w:val="20"/>
          <w:szCs w:val="20"/>
        </w:rPr>
        <w:t xml:space="preserve"> and</w:t>
      </w:r>
      <w:r w:rsidR="00342AB6" w:rsidRPr="002C0C08">
        <w:rPr>
          <w:sz w:val="20"/>
          <w:szCs w:val="20"/>
        </w:rPr>
        <w:t xml:space="preserve"> the </w:t>
      </w:r>
      <w:r w:rsidR="00B8385B" w:rsidRPr="002C0C08">
        <w:rPr>
          <w:sz w:val="20"/>
          <w:szCs w:val="20"/>
        </w:rPr>
        <w:t>Indiana University Indianapolis</w:t>
      </w:r>
      <w:r w:rsidR="00342AB6" w:rsidRPr="002C0C08">
        <w:rPr>
          <w:sz w:val="20"/>
          <w:szCs w:val="20"/>
        </w:rPr>
        <w:t xml:space="preserve"> </w:t>
      </w:r>
      <w:r w:rsidR="00342AB6" w:rsidRPr="002C0C08">
        <w:rPr>
          <w:i/>
          <w:sz w:val="20"/>
          <w:szCs w:val="20"/>
        </w:rPr>
        <w:t>Faculty Guide</w:t>
      </w:r>
      <w:r w:rsidR="00342AB6" w:rsidRPr="002C0C08">
        <w:rPr>
          <w:sz w:val="20"/>
          <w:szCs w:val="20"/>
        </w:rPr>
        <w:t xml:space="preserve"> are minimal criteria which are generally applicable to all schools at Indiana University regardless of their interests and missions. It is appropriate and desirable that within this framework the School of Science further articulates criteria specific to itself.</w:t>
      </w:r>
    </w:p>
    <w:p w14:paraId="2EF998B0" w14:textId="77777777" w:rsidR="00EF1BE8" w:rsidRPr="002C0C08" w:rsidRDefault="00EF1BE8" w:rsidP="008C21A3">
      <w:pPr>
        <w:pStyle w:val="BodyText"/>
        <w:rPr>
          <w:sz w:val="20"/>
          <w:szCs w:val="20"/>
        </w:rPr>
      </w:pPr>
    </w:p>
    <w:p w14:paraId="38635F1F" w14:textId="77777777" w:rsidR="00EF1BE8" w:rsidRPr="002C0C08" w:rsidRDefault="00342AB6" w:rsidP="008C21A3">
      <w:pPr>
        <w:pStyle w:val="BodyText"/>
        <w:ind w:left="247" w:right="117" w:firstLine="1"/>
        <w:jc w:val="both"/>
        <w:rPr>
          <w:sz w:val="20"/>
          <w:szCs w:val="20"/>
        </w:rPr>
      </w:pPr>
      <w:r w:rsidRPr="002C0C08">
        <w:rPr>
          <w:sz w:val="20"/>
          <w:szCs w:val="20"/>
        </w:rPr>
        <w:t>The basic, underlying principle of promotion, tenure, and reappointment decisions in the School of Science is that of peer review. Thus promotion, tenure, and reappointment decisions are to be made substantively at the Department level, where the faculty member’s activities are best known and can best be evaluated. It is essential that, while acknowledging the subjective value judgments and flexibility required by individual cases, Department level decisions be made stringently. Subsequent evaluations at higher levels will concentrate on whether stated Department, School of Science, and University criteria have in fact been met and whether the evaluation procedures followed have been satisfactory.</w:t>
      </w:r>
    </w:p>
    <w:p w14:paraId="5744F12A" w14:textId="77777777" w:rsidR="00EF1BE8" w:rsidRPr="002C0C08" w:rsidRDefault="00EF1BE8" w:rsidP="008C21A3">
      <w:pPr>
        <w:pStyle w:val="BodyText"/>
        <w:rPr>
          <w:sz w:val="20"/>
          <w:szCs w:val="20"/>
        </w:rPr>
      </w:pPr>
    </w:p>
    <w:p w14:paraId="0AE4CE59" w14:textId="77777777" w:rsidR="00EF1BE8" w:rsidRPr="002C0C08" w:rsidRDefault="00342AB6" w:rsidP="008C21A3">
      <w:pPr>
        <w:pStyle w:val="BodyText"/>
        <w:ind w:left="247" w:right="137" w:firstLine="1"/>
        <w:jc w:val="both"/>
        <w:rPr>
          <w:sz w:val="20"/>
          <w:szCs w:val="20"/>
        </w:rPr>
      </w:pPr>
      <w:r w:rsidRPr="002C0C08">
        <w:rPr>
          <w:sz w:val="20"/>
          <w:szCs w:val="20"/>
        </w:rPr>
        <w:t>The primary objective of the promotion and tenure process is to retain and reward faculty who are making significant contributions to the Department, the School of Science, and the University. Each candidate is to be evaluated with this primary objective in mind, recognizing the multiplicity of ways in which contributions are made by faculty.</w:t>
      </w:r>
    </w:p>
    <w:p w14:paraId="06CCEA00" w14:textId="77777777" w:rsidR="00EF1BE8" w:rsidRPr="002C0C08" w:rsidRDefault="00EF1BE8" w:rsidP="008C21A3">
      <w:pPr>
        <w:pStyle w:val="BodyText"/>
        <w:rPr>
          <w:sz w:val="20"/>
          <w:szCs w:val="20"/>
        </w:rPr>
      </w:pPr>
    </w:p>
    <w:p w14:paraId="732EEE4B" w14:textId="2A990874" w:rsidR="00EF1BE8" w:rsidRPr="002C0C08" w:rsidRDefault="00342AB6" w:rsidP="008C21A3">
      <w:pPr>
        <w:pStyle w:val="BodyText"/>
        <w:ind w:left="209" w:right="134"/>
        <w:jc w:val="both"/>
        <w:rPr>
          <w:sz w:val="20"/>
          <w:szCs w:val="20"/>
        </w:rPr>
      </w:pPr>
      <w:r w:rsidRPr="002C0C08">
        <w:rPr>
          <w:sz w:val="20"/>
          <w:szCs w:val="20"/>
        </w:rPr>
        <w:t xml:space="preserve">In the School of Science, promotion, tenure, and reappointment decisions are made on the basis of scholarship and creative activity in teaching, research, and service. The School’s criteria for the candidate’s designated Area of Excellence delineated in these guidelines constitute the framework for accomplishments that typically are articulated in more specific detail in departmental criteria and that contribute to the summary evaluation by the review committee concerning excellent performance. The individual criteria </w:t>
      </w:r>
      <w:r w:rsidRPr="002C0C08">
        <w:rPr>
          <w:b/>
          <w:sz w:val="20"/>
          <w:szCs w:val="20"/>
        </w:rPr>
        <w:t xml:space="preserve">should not be equated with specific accomplishments </w:t>
      </w:r>
      <w:r w:rsidRPr="002C0C08">
        <w:rPr>
          <w:sz w:val="20"/>
          <w:szCs w:val="20"/>
        </w:rPr>
        <w:t>to be considered as either</w:t>
      </w:r>
      <w:r w:rsidR="009C2E17" w:rsidRPr="002C0C08">
        <w:rPr>
          <w:sz w:val="20"/>
          <w:szCs w:val="20"/>
        </w:rPr>
        <w:t xml:space="preserve"> </w:t>
      </w:r>
      <w:r w:rsidRPr="002C0C08">
        <w:rPr>
          <w:sz w:val="20"/>
          <w:szCs w:val="20"/>
        </w:rPr>
        <w:t xml:space="preserve">necessary or sufficient to assure a successful outcome. They identify collectively the important domains and types of evidence that the promotion and tenure committees evaluate in forming their judgments and recommendations. </w:t>
      </w:r>
      <w:r w:rsidRPr="002C0C08">
        <w:rPr>
          <w:b/>
          <w:sz w:val="20"/>
          <w:szCs w:val="20"/>
        </w:rPr>
        <w:t xml:space="preserve">In addition, the relative ordering of the criteria does not imply any differential importance and/or weight. </w:t>
      </w:r>
      <w:r w:rsidRPr="002C0C08">
        <w:rPr>
          <w:sz w:val="20"/>
          <w:szCs w:val="20"/>
        </w:rPr>
        <w:t>It is important to recognize, regardless of how explicitly the criteria for teaching, research, and service may be stated, that evaluations necessarily involve value judgments which are in part subjective. Evaluators at every level use their own experience, judgment, and expectations to decide whether criteria have in fact been satisfied. In evaluating a candidate’s qualifications, flexibility will be exercised in weighting responsibilities and commitments in one area more heavily than in other areas as each candidate’s case requires.</w:t>
      </w:r>
    </w:p>
    <w:p w14:paraId="6A7899BF" w14:textId="77777777" w:rsidR="00EF1BE8" w:rsidRPr="002C0C08" w:rsidRDefault="00EF1BE8" w:rsidP="008C21A3">
      <w:pPr>
        <w:pStyle w:val="BodyText"/>
        <w:rPr>
          <w:sz w:val="20"/>
          <w:szCs w:val="20"/>
        </w:rPr>
      </w:pPr>
    </w:p>
    <w:p w14:paraId="5B454CE9" w14:textId="4FE3B049" w:rsidR="00C739F9" w:rsidRPr="002C0C08" w:rsidRDefault="00342AB6" w:rsidP="00540549">
      <w:pPr>
        <w:pStyle w:val="BodyText"/>
        <w:ind w:left="248" w:right="137"/>
        <w:jc w:val="both"/>
        <w:rPr>
          <w:sz w:val="20"/>
          <w:szCs w:val="20"/>
          <w:highlight w:val="yellow"/>
        </w:rPr>
      </w:pPr>
      <w:r w:rsidRPr="002C0C08">
        <w:rPr>
          <w:sz w:val="20"/>
          <w:szCs w:val="20"/>
        </w:rPr>
        <w:t xml:space="preserve">The School of Science requires that, for promotion to Associate Professor or Full Professor, the candidate must perform well in the areas of teaching, research, and service, recognizing that the weighting will be different for each candidate. Promotion to Associate or Full Professor requires excellent performance in at least one of these areas. Unsatisfactory performance in any area will preclude promotion or award of tenure. Promotion to Senior Lecturer </w:t>
      </w:r>
      <w:r w:rsidR="00C739F9" w:rsidRPr="002C0C08">
        <w:rPr>
          <w:sz w:val="20"/>
          <w:szCs w:val="20"/>
        </w:rPr>
        <w:t xml:space="preserve">or Teaching Professor </w:t>
      </w:r>
      <w:r w:rsidRPr="002C0C08">
        <w:rPr>
          <w:sz w:val="20"/>
          <w:szCs w:val="20"/>
        </w:rPr>
        <w:t xml:space="preserve">requires excellent performance in teaching and satisfactory performance in service. Promotion to Associate Scientist or </w:t>
      </w:r>
      <w:r w:rsidR="001C6617" w:rsidRPr="002C0C08">
        <w:rPr>
          <w:sz w:val="20"/>
          <w:szCs w:val="20"/>
        </w:rPr>
        <w:t xml:space="preserve">Senior </w:t>
      </w:r>
      <w:r w:rsidRPr="002C0C08">
        <w:rPr>
          <w:sz w:val="20"/>
          <w:szCs w:val="20"/>
        </w:rPr>
        <w:t>Scientist requires excellent performance in any of research, teaching, or service as appropriate for the job description of the candidate under consideration.</w:t>
      </w:r>
      <w:r w:rsidR="00C739F9" w:rsidRPr="002C0C08">
        <w:rPr>
          <w:sz w:val="20"/>
          <w:szCs w:val="20"/>
        </w:rPr>
        <w:t xml:space="preserve"> </w:t>
      </w:r>
      <w:r w:rsidR="00C739F9" w:rsidRPr="002C0C08">
        <w:rPr>
          <w:rStyle w:val="normaltextrun"/>
          <w:sz w:val="20"/>
          <w:szCs w:val="20"/>
        </w:rPr>
        <w:t>Promotion to Associate Clinical Professor</w:t>
      </w:r>
      <w:r w:rsidR="002B75B8" w:rsidRPr="002C0C08">
        <w:rPr>
          <w:rStyle w:val="normaltextrun"/>
          <w:sz w:val="20"/>
          <w:szCs w:val="20"/>
        </w:rPr>
        <w:t xml:space="preserve"> or Clinical Professor</w:t>
      </w:r>
      <w:r w:rsidR="00C739F9" w:rsidRPr="002C0C08">
        <w:rPr>
          <w:rStyle w:val="normaltextrun"/>
          <w:sz w:val="20"/>
          <w:szCs w:val="20"/>
        </w:rPr>
        <w:t xml:space="preserve"> is based on </w:t>
      </w:r>
      <w:r w:rsidR="00043AA8" w:rsidRPr="002C0C08">
        <w:rPr>
          <w:rStyle w:val="normaltextrun"/>
          <w:sz w:val="20"/>
          <w:szCs w:val="20"/>
        </w:rPr>
        <w:t>performance</w:t>
      </w:r>
      <w:r w:rsidR="00C739F9" w:rsidRPr="002C0C08">
        <w:rPr>
          <w:rStyle w:val="normaltextrun"/>
          <w:sz w:val="20"/>
          <w:szCs w:val="20"/>
        </w:rPr>
        <w:t xml:space="preserve"> in teaching and service; promotion requires excellence in at least one of these two areas.  </w:t>
      </w:r>
    </w:p>
    <w:p w14:paraId="6C8A78AB" w14:textId="77777777" w:rsidR="00EF1BE8" w:rsidRPr="002C0C08" w:rsidRDefault="00EF1BE8" w:rsidP="008E3E71">
      <w:pPr>
        <w:pStyle w:val="BodyText"/>
        <w:rPr>
          <w:sz w:val="20"/>
          <w:szCs w:val="20"/>
          <w:highlight w:val="yellow"/>
        </w:rPr>
      </w:pPr>
    </w:p>
    <w:p w14:paraId="17441F4D" w14:textId="1FFD4299" w:rsidR="00EF1BE8" w:rsidRPr="002C0C08" w:rsidRDefault="00342AB6" w:rsidP="00AA54CD">
      <w:pPr>
        <w:pStyle w:val="BodyText"/>
        <w:ind w:left="245" w:right="116"/>
        <w:jc w:val="both"/>
        <w:rPr>
          <w:sz w:val="20"/>
          <w:szCs w:val="20"/>
        </w:rPr>
      </w:pPr>
      <w:r w:rsidRPr="002C0C08">
        <w:rPr>
          <w:sz w:val="20"/>
          <w:szCs w:val="20"/>
        </w:rPr>
        <w:t>The School of Science interprets the “</w:t>
      </w:r>
      <w:r w:rsidR="00CC65F4" w:rsidRPr="002C0C08">
        <w:rPr>
          <w:rStyle w:val="Strong"/>
          <w:b w:val="0"/>
          <w:bCs w:val="0"/>
          <w:color w:val="000000"/>
          <w:sz w:val="20"/>
          <w:szCs w:val="20"/>
        </w:rPr>
        <w:t>Balanced-Integrative Case</w:t>
      </w:r>
      <w:r w:rsidRPr="002C0C08">
        <w:rPr>
          <w:sz w:val="20"/>
          <w:szCs w:val="20"/>
        </w:rPr>
        <w:t xml:space="preserve">” referred to in Indiana University’s </w:t>
      </w:r>
      <w:r w:rsidRPr="002C0C08">
        <w:rPr>
          <w:i/>
          <w:iCs/>
          <w:sz w:val="20"/>
          <w:szCs w:val="20"/>
        </w:rPr>
        <w:t xml:space="preserve">University Policies </w:t>
      </w:r>
      <w:r w:rsidRPr="002C0C08">
        <w:rPr>
          <w:sz w:val="20"/>
          <w:szCs w:val="20"/>
        </w:rPr>
        <w:t>criteria for promotion</w:t>
      </w:r>
      <w:r w:rsidR="00CF4E61" w:rsidRPr="002C0C08">
        <w:rPr>
          <w:sz w:val="20"/>
          <w:szCs w:val="20"/>
        </w:rPr>
        <w:t>, and the Faculty Guide</w:t>
      </w:r>
      <w:r w:rsidRPr="002C0C08">
        <w:rPr>
          <w:sz w:val="20"/>
          <w:szCs w:val="20"/>
        </w:rPr>
        <w:t xml:space="preserve"> (see Section A.1 </w:t>
      </w:r>
      <w:r w:rsidR="00CF4E61" w:rsidRPr="002C0C08">
        <w:rPr>
          <w:sz w:val="20"/>
          <w:szCs w:val="20"/>
        </w:rPr>
        <w:t xml:space="preserve">and A.2 </w:t>
      </w:r>
      <w:r w:rsidRPr="002C0C08">
        <w:rPr>
          <w:sz w:val="20"/>
          <w:szCs w:val="20"/>
        </w:rPr>
        <w:t xml:space="preserve">above) as applying only to the exceptional Assistant Professor (seeking promotion to Associate Professor) who demonstrates strengths that </w:t>
      </w:r>
      <w:r w:rsidRPr="002C0C08">
        <w:rPr>
          <w:sz w:val="20"/>
          <w:szCs w:val="20"/>
        </w:rPr>
        <w:lastRenderedPageBreak/>
        <w:t xml:space="preserve">promise excellent performance in teaching, research, </w:t>
      </w:r>
      <w:r w:rsidRPr="002C0C08">
        <w:rPr>
          <w:i/>
          <w:iCs/>
          <w:sz w:val="20"/>
          <w:szCs w:val="20"/>
        </w:rPr>
        <w:t xml:space="preserve">and </w:t>
      </w:r>
      <w:r w:rsidRPr="002C0C08">
        <w:rPr>
          <w:sz w:val="20"/>
          <w:szCs w:val="20"/>
        </w:rPr>
        <w:t xml:space="preserve">service, or to the exceptional Associate Professor (seeking promotion to Full Professor) who demonstrates strengths that promise excellent performance in teaching, research, </w:t>
      </w:r>
      <w:r w:rsidRPr="002C0C08">
        <w:rPr>
          <w:i/>
          <w:iCs/>
          <w:sz w:val="20"/>
          <w:szCs w:val="20"/>
        </w:rPr>
        <w:t xml:space="preserve">and </w:t>
      </w:r>
      <w:r w:rsidRPr="002C0C08">
        <w:rPr>
          <w:sz w:val="20"/>
          <w:szCs w:val="20"/>
        </w:rPr>
        <w:t xml:space="preserve">service. </w:t>
      </w:r>
    </w:p>
    <w:p w14:paraId="2B718518" w14:textId="77777777" w:rsidR="00EF1BE8" w:rsidRPr="002C0C08" w:rsidRDefault="00EF1BE8" w:rsidP="008C21A3">
      <w:pPr>
        <w:pStyle w:val="BodyText"/>
        <w:rPr>
          <w:sz w:val="20"/>
          <w:szCs w:val="20"/>
        </w:rPr>
      </w:pPr>
    </w:p>
    <w:p w14:paraId="3D0BC56E" w14:textId="77777777" w:rsidR="00EF1BE8" w:rsidRPr="002C0C08" w:rsidRDefault="00342AB6" w:rsidP="00894AFF">
      <w:pPr>
        <w:pStyle w:val="Heading2"/>
        <w:numPr>
          <w:ilvl w:val="0"/>
          <w:numId w:val="11"/>
        </w:numPr>
        <w:tabs>
          <w:tab w:val="left" w:pos="877"/>
          <w:tab w:val="left" w:pos="878"/>
        </w:tabs>
        <w:spacing w:before="0"/>
        <w:ind w:hanging="721"/>
        <w:jc w:val="left"/>
        <w:rPr>
          <w:sz w:val="20"/>
          <w:szCs w:val="20"/>
        </w:rPr>
      </w:pPr>
      <w:r w:rsidRPr="002C0C08">
        <w:rPr>
          <w:sz w:val="20"/>
          <w:szCs w:val="20"/>
        </w:rPr>
        <w:t>PROCEDURES</w:t>
      </w:r>
    </w:p>
    <w:p w14:paraId="07A1F364" w14:textId="77777777" w:rsidR="00EF1BE8" w:rsidRPr="002C0C08" w:rsidRDefault="00EF1BE8" w:rsidP="008C21A3">
      <w:pPr>
        <w:pStyle w:val="BodyText"/>
        <w:rPr>
          <w:b/>
          <w:sz w:val="20"/>
          <w:szCs w:val="20"/>
        </w:rPr>
      </w:pPr>
    </w:p>
    <w:p w14:paraId="6B03026A" w14:textId="2613721C" w:rsidR="00EF1BE8" w:rsidRPr="002C0C08" w:rsidRDefault="00342AB6" w:rsidP="008C21A3">
      <w:pPr>
        <w:pStyle w:val="BodyText"/>
        <w:ind w:left="245" w:right="315"/>
        <w:jc w:val="both"/>
        <w:rPr>
          <w:sz w:val="20"/>
          <w:szCs w:val="20"/>
        </w:rPr>
      </w:pPr>
      <w:r w:rsidRPr="002C0C08">
        <w:rPr>
          <w:sz w:val="20"/>
          <w:szCs w:val="20"/>
        </w:rPr>
        <w:t xml:space="preserve">There are several levels of review in the promotion and tenure process. The first is at the Department level by the Primary Committee, the second is by the Department Chair, the third is at the School level by the Unit Committee, the fourth is by the Dean of the School of Science, and the fifth is at the University level by the </w:t>
      </w:r>
      <w:r w:rsidR="00B8385B" w:rsidRPr="002C0C08">
        <w:rPr>
          <w:sz w:val="20"/>
          <w:szCs w:val="20"/>
        </w:rPr>
        <w:t>Indiana University Indianapolis</w:t>
      </w:r>
      <w:r w:rsidRPr="002C0C08">
        <w:rPr>
          <w:sz w:val="20"/>
          <w:szCs w:val="20"/>
        </w:rPr>
        <w:t xml:space="preserve"> Promotion and Tenure Committee. Subsequent reviews are made by the </w:t>
      </w:r>
      <w:r w:rsidR="00B8385B" w:rsidRPr="002C0C08">
        <w:rPr>
          <w:sz w:val="20"/>
          <w:szCs w:val="20"/>
        </w:rPr>
        <w:t>Provost</w:t>
      </w:r>
      <w:r w:rsidRPr="002C0C08">
        <w:rPr>
          <w:sz w:val="20"/>
          <w:szCs w:val="20"/>
        </w:rPr>
        <w:t xml:space="preserve"> and Executive Vice Chancellor, the Chancellor, the President of Indiana University, and finally</w:t>
      </w:r>
      <w:r w:rsidR="00023884" w:rsidRPr="002C0C08">
        <w:rPr>
          <w:sz w:val="20"/>
          <w:szCs w:val="20"/>
        </w:rPr>
        <w:t>,</w:t>
      </w:r>
      <w:r w:rsidRPr="002C0C08">
        <w:rPr>
          <w:sz w:val="20"/>
          <w:szCs w:val="20"/>
        </w:rPr>
        <w:t xml:space="preserve"> the Board of Trustees of Indiana University</w:t>
      </w:r>
      <w:r w:rsidR="00023884" w:rsidRPr="002C0C08">
        <w:rPr>
          <w:sz w:val="20"/>
          <w:szCs w:val="20"/>
        </w:rPr>
        <w:t>.</w:t>
      </w:r>
    </w:p>
    <w:p w14:paraId="6D809A76" w14:textId="77777777" w:rsidR="00EF1BE8" w:rsidRPr="002C0C08" w:rsidRDefault="00EF1BE8" w:rsidP="008C21A3">
      <w:pPr>
        <w:pStyle w:val="BodyText"/>
        <w:rPr>
          <w:sz w:val="20"/>
          <w:szCs w:val="20"/>
        </w:rPr>
      </w:pPr>
    </w:p>
    <w:p w14:paraId="79B287BE" w14:textId="77777777" w:rsidR="00EF1BE8" w:rsidRPr="002C0C08" w:rsidRDefault="00342AB6" w:rsidP="008C21A3">
      <w:pPr>
        <w:pStyle w:val="BodyText"/>
        <w:ind w:left="246" w:right="315"/>
        <w:jc w:val="both"/>
        <w:rPr>
          <w:sz w:val="20"/>
          <w:szCs w:val="20"/>
        </w:rPr>
      </w:pPr>
      <w:r w:rsidRPr="002C0C08">
        <w:rPr>
          <w:sz w:val="20"/>
          <w:szCs w:val="20"/>
        </w:rPr>
        <w:t>Once a faculty member becomes a candidate for promotion, tenure, and/or reappointment in the School of Science, they continue to be a candidate until such time as the process is completed, or the faculty member makes a formal written request that they no longer wish to be considered. (Candidates are advised against making negative impressions at all levels through premature candidacy for promotion, tenure, and/or reappointment.)</w:t>
      </w:r>
    </w:p>
    <w:p w14:paraId="510E6CFF" w14:textId="77777777" w:rsidR="00EF1BE8" w:rsidRPr="002C0C08" w:rsidRDefault="00EF1BE8" w:rsidP="008C21A3">
      <w:pPr>
        <w:pStyle w:val="BodyText"/>
        <w:rPr>
          <w:sz w:val="20"/>
          <w:szCs w:val="20"/>
        </w:rPr>
      </w:pPr>
    </w:p>
    <w:p w14:paraId="666E6BC4" w14:textId="0D5EC435" w:rsidR="00EF1BE8" w:rsidRPr="002C0C08" w:rsidRDefault="00342AB6" w:rsidP="008C21A3">
      <w:pPr>
        <w:pStyle w:val="BodyText"/>
        <w:ind w:left="246" w:right="317"/>
        <w:jc w:val="both"/>
        <w:rPr>
          <w:b/>
          <w:bCs/>
          <w:sz w:val="20"/>
          <w:szCs w:val="20"/>
        </w:rPr>
      </w:pPr>
      <w:r w:rsidRPr="002C0C08">
        <w:rPr>
          <w:sz w:val="20"/>
          <w:szCs w:val="20"/>
        </w:rPr>
        <w:t xml:space="preserve">The tenure and promotion process of a candidate starts with the creation of their dossier. The candidate should prepare the promotion and tenure dossier. The overall structure of the dossier must be compliant with the </w:t>
      </w:r>
      <w:r w:rsidR="00B8385B" w:rsidRPr="002C0C08">
        <w:rPr>
          <w:sz w:val="20"/>
          <w:szCs w:val="20"/>
        </w:rPr>
        <w:t>Indiana University Indianapolis</w:t>
      </w:r>
      <w:r w:rsidRPr="002C0C08">
        <w:rPr>
          <w:sz w:val="20"/>
          <w:szCs w:val="20"/>
        </w:rPr>
        <w:t xml:space="preserve"> Chief Academic Officer’s </w:t>
      </w:r>
      <w:r w:rsidRPr="002C0C08">
        <w:rPr>
          <w:i/>
          <w:sz w:val="20"/>
          <w:szCs w:val="20"/>
        </w:rPr>
        <w:t xml:space="preserve">Guidelines for Preparing and Reviewing Promotion and Tenure Dossiers </w:t>
      </w:r>
      <w:r w:rsidRPr="002C0C08">
        <w:rPr>
          <w:sz w:val="20"/>
          <w:szCs w:val="20"/>
        </w:rPr>
        <w:t xml:space="preserve">and the </w:t>
      </w:r>
      <w:r w:rsidR="00F33BE5" w:rsidRPr="002C0C08">
        <w:rPr>
          <w:sz w:val="20"/>
          <w:szCs w:val="20"/>
        </w:rPr>
        <w:t xml:space="preserve">appropriate online </w:t>
      </w:r>
      <w:r w:rsidRPr="002C0C08">
        <w:rPr>
          <w:sz w:val="20"/>
          <w:szCs w:val="20"/>
        </w:rPr>
        <w:t xml:space="preserve">system (please refer to Section J for more details). The completed dossier needs to be uploaded to the </w:t>
      </w:r>
      <w:r w:rsidR="00F33BE5" w:rsidRPr="002C0C08">
        <w:rPr>
          <w:sz w:val="20"/>
          <w:szCs w:val="20"/>
        </w:rPr>
        <w:t xml:space="preserve">appropriate online </w:t>
      </w:r>
      <w:r w:rsidRPr="002C0C08">
        <w:rPr>
          <w:sz w:val="20"/>
          <w:szCs w:val="20"/>
        </w:rPr>
        <w:t>system by the candidate.</w:t>
      </w:r>
      <w:r w:rsidR="00540549" w:rsidRPr="002C0C08">
        <w:rPr>
          <w:sz w:val="20"/>
          <w:szCs w:val="20"/>
        </w:rPr>
        <w:t xml:space="preserve"> </w:t>
      </w:r>
      <w:r w:rsidR="00540549" w:rsidRPr="002C0C08">
        <w:rPr>
          <w:sz w:val="20"/>
          <w:szCs w:val="20"/>
        </w:rPr>
        <w:br/>
      </w:r>
      <w:r w:rsidR="00540549" w:rsidRPr="002C0C08">
        <w:rPr>
          <w:sz w:val="20"/>
          <w:szCs w:val="20"/>
        </w:rPr>
        <w:br/>
      </w:r>
      <w:r w:rsidRPr="002C0C08">
        <w:rPr>
          <w:b/>
          <w:bCs/>
          <w:sz w:val="20"/>
          <w:szCs w:val="20"/>
        </w:rPr>
        <w:t>Conflict of Interest Policy</w:t>
      </w:r>
    </w:p>
    <w:p w14:paraId="35291BF0" w14:textId="77777777" w:rsidR="00EF1BE8" w:rsidRPr="002C0C08" w:rsidRDefault="00EF1BE8" w:rsidP="008C21A3">
      <w:pPr>
        <w:pStyle w:val="BodyText"/>
        <w:rPr>
          <w:sz w:val="20"/>
          <w:szCs w:val="20"/>
        </w:rPr>
      </w:pPr>
    </w:p>
    <w:p w14:paraId="0521A8F2" w14:textId="77777777" w:rsidR="00EF1BE8" w:rsidRPr="002C0C08" w:rsidRDefault="00342AB6" w:rsidP="008C21A3">
      <w:pPr>
        <w:pStyle w:val="BodyText"/>
        <w:ind w:left="246" w:right="398"/>
        <w:jc w:val="both"/>
        <w:rPr>
          <w:sz w:val="20"/>
          <w:szCs w:val="20"/>
        </w:rPr>
      </w:pPr>
      <w:r w:rsidRPr="002C0C08">
        <w:rPr>
          <w:sz w:val="20"/>
          <w:szCs w:val="20"/>
        </w:rPr>
        <w:t>Certain conditions regarding the relationship between a faculty member (who may serve on a promotion and tenure committee) or an administrator involved in the process (e.g., a Department Chair or School Dean) and a candidate for promotion or tenure are sufficient to establish a conflict of interest (or an apparent conflict of interest) that would require obligatory recusal of the faculty member or administrator from participating in the promotion and tenure process for that candidate. These conditions include (but are not necessarily limited to) the following: a) a spousal or familial relationship with a candidate; b) a past or current intimate romantic relationship with a candidate; c) a shared personal financial interest with a candidate.</w:t>
      </w:r>
    </w:p>
    <w:p w14:paraId="775B0ED2" w14:textId="77777777" w:rsidR="00EF1BE8" w:rsidRPr="002C0C08" w:rsidRDefault="00EF1BE8" w:rsidP="008C21A3">
      <w:pPr>
        <w:pStyle w:val="BodyText"/>
        <w:rPr>
          <w:sz w:val="20"/>
          <w:szCs w:val="20"/>
        </w:rPr>
      </w:pPr>
    </w:p>
    <w:p w14:paraId="7B54965B" w14:textId="77777777" w:rsidR="00EF1BE8" w:rsidRPr="002C0C08" w:rsidRDefault="00342AB6" w:rsidP="008C21A3">
      <w:pPr>
        <w:pStyle w:val="BodyText"/>
        <w:ind w:left="246" w:right="399"/>
        <w:jc w:val="both"/>
        <w:rPr>
          <w:sz w:val="20"/>
          <w:szCs w:val="20"/>
        </w:rPr>
      </w:pPr>
      <w:r w:rsidRPr="002C0C08">
        <w:rPr>
          <w:sz w:val="20"/>
          <w:szCs w:val="20"/>
        </w:rPr>
        <w:t>Recusal means that the person in conflict shall not participate in any way in the promotion and tenure process involving the candidate. With recusal, the person is specifically excluded from being present for any discussion of the candidate, from contributing to any evaluation of the candidate by faculty committees or administrators, and from voting on the candidate’s case (other than a vote of “not present” if that is recorded). If recusal due to conflict of interest creates conditions under which the voting requirements specified in Campus Guidelines cannot be met (i.e., not having a minimum of four votes registered as yes or no), then, before the committee deliberations begin for the case, the procedures for adding one or more members to the committee (specified in “The Primary Committee” section below) should be followed. If a Chair must be recused from the case, a senior department member (or Vice Chair) may be appointed by the Dean to serve in the Chair’s role for the promotion and tenure process for the candidate; alternatively, the Chair’s letter of evaluation and vote may be waived in accordance with Campus Guidelines. If the Dean is recused, the process for the Dean’s evaluation will be determined in consultation with the Executive Vice Chancellor.</w:t>
      </w:r>
    </w:p>
    <w:p w14:paraId="77191BDD" w14:textId="77777777" w:rsidR="00EF1BE8" w:rsidRPr="002C0C08" w:rsidRDefault="00EF1BE8" w:rsidP="008C21A3">
      <w:pPr>
        <w:pStyle w:val="BodyText"/>
        <w:rPr>
          <w:sz w:val="20"/>
          <w:szCs w:val="20"/>
        </w:rPr>
      </w:pPr>
    </w:p>
    <w:p w14:paraId="194EE267" w14:textId="77777777" w:rsidR="00EF1BE8" w:rsidRPr="002C0C08" w:rsidRDefault="00342AB6" w:rsidP="008C21A3">
      <w:pPr>
        <w:pStyle w:val="BodyText"/>
        <w:ind w:left="246" w:right="401"/>
        <w:jc w:val="both"/>
        <w:rPr>
          <w:sz w:val="20"/>
          <w:szCs w:val="20"/>
        </w:rPr>
      </w:pPr>
      <w:r w:rsidRPr="002C0C08">
        <w:rPr>
          <w:sz w:val="20"/>
          <w:szCs w:val="20"/>
        </w:rPr>
        <w:t>Professional activities typical of collegial faculty relationships, including collaborations on research (publications; grants), teaching, or service activities, generally do not rise to the level that constitutes a conflict of interest and would not necessarily require recusal. However, there may be circumstances that would require recusal:</w:t>
      </w:r>
    </w:p>
    <w:p w14:paraId="0250394D" w14:textId="77777777" w:rsidR="00EF1BE8" w:rsidRPr="002C0C08" w:rsidRDefault="00EF1BE8" w:rsidP="008C21A3">
      <w:pPr>
        <w:pStyle w:val="BodyText"/>
        <w:rPr>
          <w:sz w:val="20"/>
          <w:szCs w:val="20"/>
        </w:rPr>
      </w:pPr>
    </w:p>
    <w:p w14:paraId="5AB2F512" w14:textId="77777777" w:rsidR="00EF1BE8" w:rsidRPr="002C0C08" w:rsidRDefault="00342AB6" w:rsidP="008C21A3">
      <w:pPr>
        <w:pStyle w:val="ListParagraph"/>
        <w:numPr>
          <w:ilvl w:val="0"/>
          <w:numId w:val="9"/>
        </w:numPr>
        <w:tabs>
          <w:tab w:val="left" w:pos="967"/>
        </w:tabs>
        <w:ind w:right="401"/>
        <w:jc w:val="both"/>
        <w:rPr>
          <w:sz w:val="20"/>
          <w:szCs w:val="20"/>
        </w:rPr>
      </w:pPr>
      <w:r w:rsidRPr="002C0C08">
        <w:rPr>
          <w:sz w:val="20"/>
          <w:szCs w:val="20"/>
        </w:rPr>
        <w:t>If a faculty candidate seeking promotion is fully or largely supervised by another faculty member or is substantially engaged in professional activities supported or overseen by that supervising faculty member (e.g., as may sometimes be the case for some non-tenure-track Research Scientist/Research Professor/Scholar faculty), then the supervising faculty member must recuse themself from the promotion and tenure process for that candidate.</w:t>
      </w:r>
    </w:p>
    <w:p w14:paraId="1E7092ED" w14:textId="241F6BBB" w:rsidR="00EF1BE8" w:rsidRPr="002C0C08" w:rsidRDefault="00342AB6" w:rsidP="008C21A3">
      <w:pPr>
        <w:pStyle w:val="ListParagraph"/>
        <w:numPr>
          <w:ilvl w:val="0"/>
          <w:numId w:val="9"/>
        </w:numPr>
        <w:tabs>
          <w:tab w:val="left" w:pos="967"/>
        </w:tabs>
        <w:ind w:right="396"/>
        <w:jc w:val="both"/>
        <w:rPr>
          <w:sz w:val="20"/>
          <w:szCs w:val="20"/>
        </w:rPr>
      </w:pPr>
      <w:r w:rsidRPr="002C0C08">
        <w:rPr>
          <w:sz w:val="20"/>
          <w:szCs w:val="20"/>
        </w:rPr>
        <w:lastRenderedPageBreak/>
        <w:t xml:space="preserve">Shared ownership of intellectual property would result in a conflict of interest if two or more of the following conditions are met: a) The financial impact is likely to be substantial, b) the value is likely to be affected by the outcome of the P&amp;T decision, c) the level of revenue sharing would be affected if the candidate were to leave </w:t>
      </w:r>
      <w:r w:rsidR="00B8385B" w:rsidRPr="002C0C08">
        <w:rPr>
          <w:sz w:val="20"/>
          <w:szCs w:val="20"/>
        </w:rPr>
        <w:t>Indiana University Indianapolis</w:t>
      </w:r>
      <w:r w:rsidRPr="002C0C08">
        <w:rPr>
          <w:sz w:val="20"/>
          <w:szCs w:val="20"/>
        </w:rPr>
        <w:t>.</w:t>
      </w:r>
    </w:p>
    <w:p w14:paraId="5FC16157" w14:textId="77777777" w:rsidR="00EF1BE8" w:rsidRPr="002C0C08" w:rsidRDefault="00EF1BE8" w:rsidP="008C21A3">
      <w:pPr>
        <w:pStyle w:val="BodyText"/>
        <w:rPr>
          <w:sz w:val="20"/>
          <w:szCs w:val="20"/>
        </w:rPr>
      </w:pPr>
    </w:p>
    <w:p w14:paraId="18C03F3E" w14:textId="40637D79" w:rsidR="00EF1BE8" w:rsidRPr="002C0C08" w:rsidRDefault="00342AB6" w:rsidP="008C21A3">
      <w:pPr>
        <w:pStyle w:val="BodyText"/>
        <w:ind w:left="118" w:right="404"/>
        <w:jc w:val="both"/>
        <w:rPr>
          <w:sz w:val="20"/>
          <w:szCs w:val="20"/>
        </w:rPr>
      </w:pPr>
      <w:r w:rsidRPr="002C0C08">
        <w:rPr>
          <w:sz w:val="20"/>
          <w:szCs w:val="20"/>
        </w:rPr>
        <w:t xml:space="preserve">If a candidate for promotion or tenure is concerned that a particular faculty member has engaged in prior actions that establish grounds for a conflict of interest, the candidate may contact the </w:t>
      </w:r>
      <w:r w:rsidR="00B8385B" w:rsidRPr="002C0C08">
        <w:rPr>
          <w:sz w:val="20"/>
          <w:szCs w:val="20"/>
        </w:rPr>
        <w:t xml:space="preserve">Indiana University Indianapolis </w:t>
      </w:r>
      <w:r w:rsidRPr="002C0C08">
        <w:rPr>
          <w:sz w:val="20"/>
          <w:szCs w:val="20"/>
        </w:rPr>
        <w:t>Ombudsteam for assistance.</w:t>
      </w:r>
    </w:p>
    <w:p w14:paraId="2246F1EF" w14:textId="77777777" w:rsidR="00EF1BE8" w:rsidRPr="002C0C08" w:rsidRDefault="00EF1BE8" w:rsidP="008C21A3">
      <w:pPr>
        <w:pStyle w:val="BodyText"/>
        <w:rPr>
          <w:sz w:val="20"/>
          <w:szCs w:val="20"/>
        </w:rPr>
      </w:pPr>
    </w:p>
    <w:p w14:paraId="16BC3172" w14:textId="77777777" w:rsidR="00EF1BE8" w:rsidRPr="002C0C08" w:rsidRDefault="00342AB6" w:rsidP="00540549">
      <w:pPr>
        <w:pStyle w:val="Heading4"/>
        <w:numPr>
          <w:ilvl w:val="1"/>
          <w:numId w:val="11"/>
        </w:numPr>
        <w:tabs>
          <w:tab w:val="left" w:pos="877"/>
          <w:tab w:val="left" w:pos="878"/>
        </w:tabs>
        <w:ind w:left="877" w:hanging="759"/>
        <w:rPr>
          <w:rFonts w:ascii="Times New Roman" w:hAnsi="Times New Roman" w:cs="Times New Roman"/>
          <w:i w:val="0"/>
          <w:sz w:val="20"/>
          <w:szCs w:val="20"/>
        </w:rPr>
      </w:pPr>
      <w:bookmarkStart w:id="6" w:name="1._The_Primary_Committee"/>
      <w:bookmarkEnd w:id="6"/>
      <w:r w:rsidRPr="002C0C08">
        <w:rPr>
          <w:rFonts w:ascii="Times New Roman" w:hAnsi="Times New Roman" w:cs="Times New Roman"/>
          <w:sz w:val="20"/>
          <w:szCs w:val="20"/>
        </w:rPr>
        <w:t>The Primary Committee</w:t>
      </w:r>
    </w:p>
    <w:p w14:paraId="4CC1B12A" w14:textId="77777777" w:rsidR="00EF1BE8" w:rsidRPr="002C0C08" w:rsidRDefault="00EF1BE8" w:rsidP="008C21A3">
      <w:pPr>
        <w:pStyle w:val="BodyText"/>
        <w:rPr>
          <w:b/>
          <w:i/>
          <w:sz w:val="20"/>
          <w:szCs w:val="20"/>
        </w:rPr>
      </w:pPr>
    </w:p>
    <w:p w14:paraId="7E7D52DB" w14:textId="0A732455" w:rsidR="00EF1BE8" w:rsidRPr="002C0C08" w:rsidRDefault="00342AB6" w:rsidP="008C21A3">
      <w:pPr>
        <w:pStyle w:val="BodyText"/>
        <w:ind w:left="246" w:right="404"/>
        <w:jc w:val="both"/>
        <w:rPr>
          <w:sz w:val="20"/>
          <w:szCs w:val="20"/>
        </w:rPr>
      </w:pPr>
      <w:r w:rsidRPr="002C0C08">
        <w:rPr>
          <w:sz w:val="20"/>
          <w:szCs w:val="20"/>
        </w:rPr>
        <w:t>Each year the Department Chair will establish a Primary Committee comprised of tenured Associate and Full Professors (exclusive of the Department Chair) holding rank within the</w:t>
      </w:r>
      <w:r w:rsidR="00882494" w:rsidRPr="002C0C08">
        <w:rPr>
          <w:sz w:val="20"/>
          <w:szCs w:val="20"/>
        </w:rPr>
        <w:t xml:space="preserve"> </w:t>
      </w:r>
      <w:r w:rsidRPr="002C0C08">
        <w:rPr>
          <w:sz w:val="20"/>
          <w:szCs w:val="20"/>
        </w:rPr>
        <w:t xml:space="preserve">Department, each of whom is also a regular faculty member employed by the University. Departments may decide that a specific number of Senior Lecturers may serve on the Primary Committee when Lecturers are being considered for reappointment or promotion. In general, faculty members holding administrative appointments outside of the School in which they have to act at the behest of the administration on Tenure and Promotion should not serve on their departmental Primary Committee or the School's Unit Committee. The Primary Committee in the departments will be constituted in one of two ways, consistent with the limitations with respect to Associate and Full Professor numbers stated below: either (1) The Primary Committee will consist of </w:t>
      </w:r>
      <w:r w:rsidRPr="002C0C08">
        <w:rPr>
          <w:i/>
          <w:sz w:val="20"/>
          <w:szCs w:val="20"/>
        </w:rPr>
        <w:t xml:space="preserve">all </w:t>
      </w:r>
      <w:r w:rsidRPr="002C0C08">
        <w:rPr>
          <w:sz w:val="20"/>
          <w:szCs w:val="20"/>
        </w:rPr>
        <w:t xml:space="preserve">tenured Associate and Full Professors in the department; or (2) The Primary Committee will consist of elected members from the department, the choice of which will be determined by the voting faculty of the Department. The Department Chair may appoint an additional member, subject to the limitation below, with the concurrence of the elected Primary Committee, for purposes of disciplinary balance or to ensure fairness to the candidates under consideration. </w:t>
      </w:r>
      <w:r w:rsidRPr="002C0C08">
        <w:rPr>
          <w:i/>
          <w:sz w:val="20"/>
          <w:szCs w:val="20"/>
        </w:rPr>
        <w:t>Limitation</w:t>
      </w:r>
      <w:r w:rsidRPr="002C0C08">
        <w:rPr>
          <w:sz w:val="20"/>
          <w:szCs w:val="20"/>
        </w:rPr>
        <w:t>: The Primary Committee must have more Full Professors than Associate Professors (exclusive of the department chair). The Primary Committee will consider all candidates in the Department for promotion, tenure and reappointment to all ranks other than Full Professor. The Full Professors of this committee (exclusive of the Department Chair) will comprise a subcommittee that will consider all candidates in the Department for promotion and tenure to the rank of Full Professor. The Chair of a Department with fewer than four Full Professors (exclusive of the Department Chair) shall notify the Dean, and the Dean, in consultation with the Department Chair and the incomplete Primary Committee, shall appoint additional Full Professors from other Departments in the School of Science to meet the Primary Committee membership requirements. If the voting members of a department wish to have all tenured members of the department comprise the Primary Committee and the number of Associate Professors exceeds the number of Full Professors, the department can petition the Dean to appoint additional Full Professor(s) from the School of Science in consultation with the Department Chair and Primary Committee.</w:t>
      </w:r>
    </w:p>
    <w:p w14:paraId="28E0A428" w14:textId="77777777" w:rsidR="00EF1BE8" w:rsidRPr="002C0C08" w:rsidRDefault="00EF1BE8" w:rsidP="008C21A3">
      <w:pPr>
        <w:pStyle w:val="BodyText"/>
        <w:rPr>
          <w:sz w:val="20"/>
          <w:szCs w:val="20"/>
        </w:rPr>
      </w:pPr>
    </w:p>
    <w:p w14:paraId="4D064B1A" w14:textId="5620DC4E" w:rsidR="00EF1BE8" w:rsidRPr="002C0C08" w:rsidRDefault="00342AB6" w:rsidP="008C21A3">
      <w:pPr>
        <w:pStyle w:val="BodyText"/>
        <w:ind w:left="248" w:right="364"/>
        <w:jc w:val="both"/>
        <w:rPr>
          <w:sz w:val="20"/>
          <w:szCs w:val="20"/>
        </w:rPr>
      </w:pPr>
      <w:r w:rsidRPr="002C0C08">
        <w:rPr>
          <w:sz w:val="20"/>
          <w:szCs w:val="20"/>
        </w:rPr>
        <w:t>The Primary Committee will elect its own Chair at its first meeting every year. The Primary Committee will meet at the call of either the Committee Chair or the Department Chair throughout the year according to the schedule required for department promotion, tenure and reappointment recommendations provided by the Office of the Dean, School of Science. The Department Chair shall ensure that the Primary committee completes its tasks in a timely manner. The Department Chair may not participate in the deliberations of the case of any candidate but may be present and answer questions from members of the Primary Committee, and may seek clarification on issues related to the case for the purpose of writing</w:t>
      </w:r>
      <w:r w:rsidR="00C23F1A" w:rsidRPr="002C0C08">
        <w:rPr>
          <w:sz w:val="20"/>
          <w:szCs w:val="20"/>
        </w:rPr>
        <w:t xml:space="preserve"> their</w:t>
      </w:r>
      <w:r w:rsidRPr="002C0C08">
        <w:rPr>
          <w:sz w:val="20"/>
          <w:szCs w:val="20"/>
        </w:rPr>
        <w:t xml:space="preserve"> own evaluation. The Department Chair may not vote and may not influence the outcomes of committee votes.</w:t>
      </w:r>
    </w:p>
    <w:p w14:paraId="057C039C" w14:textId="77777777" w:rsidR="00EF1BE8" w:rsidRPr="002C0C08" w:rsidRDefault="00EF1BE8" w:rsidP="008C21A3">
      <w:pPr>
        <w:pStyle w:val="BodyText"/>
        <w:rPr>
          <w:sz w:val="20"/>
          <w:szCs w:val="20"/>
        </w:rPr>
      </w:pPr>
    </w:p>
    <w:p w14:paraId="01A31F03" w14:textId="77777777" w:rsidR="00EF1BE8" w:rsidRPr="002C0C08" w:rsidRDefault="00342AB6" w:rsidP="008C21A3">
      <w:pPr>
        <w:pStyle w:val="BodyText"/>
        <w:ind w:left="248" w:right="292"/>
        <w:jc w:val="both"/>
        <w:rPr>
          <w:sz w:val="20"/>
          <w:szCs w:val="20"/>
        </w:rPr>
      </w:pPr>
      <w:r w:rsidRPr="002C0C08">
        <w:rPr>
          <w:sz w:val="20"/>
          <w:szCs w:val="20"/>
        </w:rPr>
        <w:t>The Primary Committee will consider for promotion, tenure, and reappointment of all probationary faculty, will consider third year reviews of qualifying untenured faculty, and will consider for promotion and reappointment of all Lecturers in accordance with University policy. The deliberations of the Primary Committee are confidential. All votes will be taken by secret ballot. Each Primary Committee vote for tenure or promotion must result in at least four approve/disapprove votes being recorded. If a duly constituted Primary Committee cannot record at least four approve/disapprove votes, as may occur if some members abstain or cannot provide an approve/disapprove vote for any reason, the Dean should seek additional members to appoint to the committee in consultation with the duly constituted committee.</w:t>
      </w:r>
    </w:p>
    <w:p w14:paraId="3C97796D" w14:textId="0BA08624" w:rsidR="00EF1BE8" w:rsidRPr="002C0C08" w:rsidRDefault="00540549" w:rsidP="008C21A3">
      <w:pPr>
        <w:pStyle w:val="BodyText"/>
        <w:ind w:left="248" w:right="292"/>
        <w:jc w:val="both"/>
        <w:rPr>
          <w:sz w:val="20"/>
          <w:szCs w:val="20"/>
        </w:rPr>
      </w:pPr>
      <w:r w:rsidRPr="002C0C08">
        <w:rPr>
          <w:sz w:val="20"/>
          <w:szCs w:val="20"/>
        </w:rPr>
        <w:br/>
      </w:r>
      <w:r w:rsidR="00342AB6" w:rsidRPr="002C0C08">
        <w:rPr>
          <w:sz w:val="20"/>
          <w:szCs w:val="20"/>
        </w:rPr>
        <w:t xml:space="preserve">The Primary Committee will complete and sign a written report of its deliberations for each candidate. The report from the Primary Committee should include the vote count for the candidate, and it should make an </w:t>
      </w:r>
      <w:r w:rsidR="00342AB6" w:rsidRPr="002C0C08">
        <w:rPr>
          <w:sz w:val="20"/>
          <w:szCs w:val="20"/>
        </w:rPr>
        <w:lastRenderedPageBreak/>
        <w:t xml:space="preserve">effort to explain the reasons for negative votes—if any—based on committee discussion. The Primary Committee Chair (or designee) will meet with the candidate </w:t>
      </w:r>
      <w:r w:rsidR="00342AB6" w:rsidRPr="002C0C08">
        <w:rPr>
          <w:b/>
          <w:sz w:val="20"/>
          <w:szCs w:val="20"/>
        </w:rPr>
        <w:t>on or before September 14</w:t>
      </w:r>
      <w:r w:rsidR="00342AB6" w:rsidRPr="002C0C08">
        <w:rPr>
          <w:b/>
          <w:position w:val="7"/>
          <w:sz w:val="20"/>
          <w:szCs w:val="20"/>
        </w:rPr>
        <w:t xml:space="preserve"> </w:t>
      </w:r>
      <w:r w:rsidR="00342AB6" w:rsidRPr="002C0C08">
        <w:rPr>
          <w:sz w:val="20"/>
          <w:szCs w:val="20"/>
        </w:rPr>
        <w:t>to deliver a copy of the Primary Committee report and to discuss the results of the committee’s deliberations. This report will also be provided to the Department Chair.</w:t>
      </w:r>
    </w:p>
    <w:p w14:paraId="1A1A0DF6" w14:textId="77777777" w:rsidR="00EF1BE8" w:rsidRPr="002C0C08" w:rsidRDefault="00EF1BE8" w:rsidP="008C21A3">
      <w:pPr>
        <w:pStyle w:val="BodyText"/>
        <w:rPr>
          <w:sz w:val="20"/>
          <w:szCs w:val="20"/>
        </w:rPr>
      </w:pPr>
    </w:p>
    <w:p w14:paraId="74965527" w14:textId="0D2197E8" w:rsidR="00EF1BE8" w:rsidRPr="002C0C08" w:rsidRDefault="00342AB6" w:rsidP="008C21A3">
      <w:pPr>
        <w:pStyle w:val="BodyText"/>
        <w:ind w:left="248" w:right="293"/>
        <w:jc w:val="both"/>
        <w:rPr>
          <w:sz w:val="20"/>
          <w:szCs w:val="20"/>
        </w:rPr>
      </w:pPr>
      <w:r w:rsidRPr="002C0C08">
        <w:rPr>
          <w:sz w:val="20"/>
          <w:szCs w:val="20"/>
        </w:rPr>
        <w:t xml:space="preserve">Within one week after receiving the Primary Committee report, the Department Chair should complete </w:t>
      </w:r>
      <w:r w:rsidR="00C23F1A" w:rsidRPr="002C0C08">
        <w:rPr>
          <w:sz w:val="20"/>
          <w:szCs w:val="20"/>
        </w:rPr>
        <w:t xml:space="preserve"> their</w:t>
      </w:r>
      <w:r w:rsidRPr="002C0C08">
        <w:rPr>
          <w:sz w:val="20"/>
          <w:szCs w:val="20"/>
        </w:rPr>
        <w:t xml:space="preserve"> report (including the Chair’s vote) and provide the report to the candidate in a separate meeting with the Chair to discuss the recommendation.</w:t>
      </w:r>
    </w:p>
    <w:p w14:paraId="464DC19D" w14:textId="77777777" w:rsidR="00EF1BE8" w:rsidRPr="002C0C08" w:rsidRDefault="00EF1BE8" w:rsidP="008C21A3">
      <w:pPr>
        <w:pStyle w:val="BodyText"/>
        <w:rPr>
          <w:sz w:val="20"/>
          <w:szCs w:val="20"/>
        </w:rPr>
      </w:pPr>
    </w:p>
    <w:p w14:paraId="30097509" w14:textId="0CCA73F4" w:rsidR="00EF1BE8" w:rsidRPr="002C0C08" w:rsidRDefault="00342AB6" w:rsidP="008C21A3">
      <w:pPr>
        <w:pStyle w:val="BodyText"/>
        <w:ind w:left="248" w:right="292"/>
        <w:jc w:val="both"/>
        <w:rPr>
          <w:sz w:val="20"/>
          <w:szCs w:val="20"/>
        </w:rPr>
      </w:pPr>
      <w:r w:rsidRPr="002C0C08">
        <w:rPr>
          <w:sz w:val="20"/>
          <w:szCs w:val="20"/>
        </w:rPr>
        <w:t xml:space="preserve">In the case of a negative recommendation by majority vote of the Primary Committee in a tenure case, it is the obligation of the Primary Committee Chair to discuss the reasons for the action as articulated in the Primary Committee report with the candidate and to inform the candidate about their right to a formal request for reconsideration as specified in the Campus Guidelines. In the case of a negative vote for tenure from the Department Chair in which the Chair’s vote was the first negative recommendation, it is the obligation of the Chair to discuss the reasons for the negative vote and inform the candidate about </w:t>
      </w:r>
      <w:r w:rsidR="00C23F1A" w:rsidRPr="002C0C08">
        <w:rPr>
          <w:sz w:val="20"/>
          <w:szCs w:val="20"/>
        </w:rPr>
        <w:t>their</w:t>
      </w:r>
      <w:r w:rsidRPr="002C0C08">
        <w:rPr>
          <w:sz w:val="20"/>
          <w:szCs w:val="20"/>
        </w:rPr>
        <w:t xml:space="preserve"> right to request reconsideration. In either case, the formal request for reconsideration must be made by the candidate within two weeks of first notification of a negative vote for tenure, consistent with </w:t>
      </w:r>
      <w:r w:rsidR="00B8385B" w:rsidRPr="002C0C08">
        <w:rPr>
          <w:sz w:val="20"/>
          <w:szCs w:val="20"/>
        </w:rPr>
        <w:t>Indiana University Indianapolis</w:t>
      </w:r>
      <w:r w:rsidRPr="002C0C08">
        <w:rPr>
          <w:sz w:val="20"/>
          <w:szCs w:val="20"/>
        </w:rPr>
        <w:t xml:space="preserve"> campus guidelines. In that case, the reconsideration by the Primary Committee and then the Chair must be completed before dossier can be reviewed by the Unit Committee.</w:t>
      </w:r>
    </w:p>
    <w:p w14:paraId="75DB9B4E" w14:textId="77777777" w:rsidR="00EF1BE8" w:rsidRPr="002C0C08" w:rsidRDefault="00EF1BE8" w:rsidP="008C21A3">
      <w:pPr>
        <w:pStyle w:val="BodyText"/>
        <w:rPr>
          <w:sz w:val="20"/>
          <w:szCs w:val="20"/>
        </w:rPr>
      </w:pPr>
    </w:p>
    <w:p w14:paraId="04E1F2A8" w14:textId="37372CBE" w:rsidR="00EF1BE8" w:rsidRPr="002C0C08" w:rsidRDefault="00342AB6" w:rsidP="008C21A3">
      <w:pPr>
        <w:pStyle w:val="BodyText"/>
        <w:ind w:left="246" w:right="315"/>
        <w:jc w:val="both"/>
        <w:rPr>
          <w:sz w:val="20"/>
          <w:szCs w:val="20"/>
        </w:rPr>
      </w:pPr>
      <w:r w:rsidRPr="002C0C08">
        <w:rPr>
          <w:sz w:val="20"/>
          <w:szCs w:val="20"/>
        </w:rPr>
        <w:t xml:space="preserve">The Department Chair, or their designee or designees, will be responsible for adding all relevant administrative documents (e.g., external letters, Primary Committee letter and Chair’s letter) to the dossier (created by the candidate) and delivering the dossier to the Dean of the School of Science, via the </w:t>
      </w:r>
      <w:r w:rsidR="00F33BE5" w:rsidRPr="002C0C08">
        <w:rPr>
          <w:sz w:val="20"/>
          <w:szCs w:val="20"/>
        </w:rPr>
        <w:t xml:space="preserve">appropriate online </w:t>
      </w:r>
      <w:r w:rsidRPr="002C0C08">
        <w:rPr>
          <w:sz w:val="20"/>
          <w:szCs w:val="20"/>
        </w:rPr>
        <w:t xml:space="preserve">system. These documents must be consistent with the most recent </w:t>
      </w:r>
      <w:r w:rsidR="00B8385B" w:rsidRPr="002C0C08">
        <w:rPr>
          <w:sz w:val="20"/>
          <w:szCs w:val="20"/>
        </w:rPr>
        <w:t>Indiana University Indianapolis</w:t>
      </w:r>
      <w:r w:rsidRPr="002C0C08">
        <w:rPr>
          <w:sz w:val="20"/>
          <w:szCs w:val="20"/>
        </w:rPr>
        <w:t xml:space="preserve"> </w:t>
      </w:r>
      <w:r w:rsidRPr="002C0C08">
        <w:rPr>
          <w:i/>
          <w:sz w:val="20"/>
          <w:szCs w:val="20"/>
        </w:rPr>
        <w:t>Chief Academic Officer’s Guidelines for Preparing and Reviewing Promotion and Tenure Dossiers</w:t>
      </w:r>
      <w:r w:rsidRPr="002C0C08">
        <w:rPr>
          <w:sz w:val="20"/>
          <w:szCs w:val="20"/>
        </w:rPr>
        <w:t xml:space="preserve">. The dossiers should be delivered to the Dean’s office on or before October </w:t>
      </w:r>
      <w:r w:rsidR="00EF449C">
        <w:rPr>
          <w:sz w:val="20"/>
          <w:szCs w:val="20"/>
        </w:rPr>
        <w:t>1</w:t>
      </w:r>
      <w:r w:rsidRPr="002C0C08">
        <w:rPr>
          <w:sz w:val="20"/>
          <w:szCs w:val="20"/>
        </w:rPr>
        <w:t>. If a candidate has invoked a reconsideration process after receiving either the Primary Committee report or the Chair’s report, the reconsideration process should be completed at that level as provided under Campus guidelines, and the dossier should be forwarded to the Dean’s office in an expedited manner with the expectation that it would be received by the Dean’s office on or before October 5.</w:t>
      </w:r>
    </w:p>
    <w:p w14:paraId="6B26B91F" w14:textId="77777777" w:rsidR="00EF1BE8" w:rsidRPr="002C0C08" w:rsidRDefault="00EF1BE8" w:rsidP="008C21A3">
      <w:pPr>
        <w:pStyle w:val="BodyText"/>
        <w:rPr>
          <w:sz w:val="20"/>
          <w:szCs w:val="20"/>
        </w:rPr>
      </w:pPr>
    </w:p>
    <w:p w14:paraId="4798CCE7" w14:textId="5AB456C8" w:rsidR="00EF1BE8" w:rsidRPr="002C0C08" w:rsidRDefault="00342AB6" w:rsidP="008C21A3">
      <w:pPr>
        <w:pStyle w:val="BodyText"/>
        <w:ind w:left="246" w:right="313"/>
        <w:jc w:val="both"/>
        <w:rPr>
          <w:sz w:val="20"/>
          <w:szCs w:val="20"/>
        </w:rPr>
      </w:pPr>
      <w:r w:rsidRPr="002C0C08">
        <w:rPr>
          <w:sz w:val="20"/>
          <w:szCs w:val="20"/>
        </w:rPr>
        <w:t xml:space="preserve">It is the responsibility of the Department Chair to identify any conflicts between the Indiana University and the </w:t>
      </w:r>
      <w:r w:rsidR="00B8385B" w:rsidRPr="002C0C08">
        <w:rPr>
          <w:sz w:val="20"/>
          <w:szCs w:val="20"/>
        </w:rPr>
        <w:t>Indiana University Indianapolis</w:t>
      </w:r>
      <w:r w:rsidRPr="002C0C08">
        <w:rPr>
          <w:sz w:val="20"/>
          <w:szCs w:val="20"/>
        </w:rPr>
        <w:t xml:space="preserve"> promotion processes that will affect their faculty, and to bring these conflicts to the attention of the Chair of the Unit Committee and the Dean of the School of Science as soon as possible. Conflicts </w:t>
      </w:r>
      <w:r w:rsidRPr="002C0C08">
        <w:rPr>
          <w:i/>
          <w:sz w:val="20"/>
          <w:szCs w:val="20"/>
        </w:rPr>
        <w:t xml:space="preserve">must </w:t>
      </w:r>
      <w:r w:rsidRPr="002C0C08">
        <w:rPr>
          <w:sz w:val="20"/>
          <w:szCs w:val="20"/>
        </w:rPr>
        <w:t>be resolved by the Department Chair, the Chair of the Unit Committee, the Dean of the School of Science, and the Dean of Faculties (as necessary) prior to consideration by the Unit Committee.</w:t>
      </w:r>
    </w:p>
    <w:p w14:paraId="4BF99076" w14:textId="77777777" w:rsidR="00EF1BE8" w:rsidRPr="002C0C08" w:rsidRDefault="00EF1BE8" w:rsidP="008C21A3">
      <w:pPr>
        <w:pStyle w:val="BodyText"/>
        <w:rPr>
          <w:sz w:val="20"/>
          <w:szCs w:val="20"/>
        </w:rPr>
      </w:pPr>
    </w:p>
    <w:p w14:paraId="4027D0D7" w14:textId="77777777" w:rsidR="00EF1BE8" w:rsidRPr="002C0C08" w:rsidRDefault="00342AB6" w:rsidP="008C21A3">
      <w:pPr>
        <w:pStyle w:val="BodyText"/>
        <w:ind w:left="248" w:right="317"/>
        <w:jc w:val="both"/>
        <w:rPr>
          <w:sz w:val="20"/>
          <w:szCs w:val="20"/>
        </w:rPr>
      </w:pPr>
      <w:r w:rsidRPr="002C0C08">
        <w:rPr>
          <w:sz w:val="20"/>
          <w:szCs w:val="20"/>
        </w:rPr>
        <w:t>When a Department Chair, who is not a Full Professor, chooses to seek promotion and/or tenure, the Dean of the School of Science, or their designee, will assume all promotion, tenure, and reappointment duties for the Department that would otherwise be handled by the Department Chair until the promotion and tenure process for the Department has been completed for the year.</w:t>
      </w:r>
    </w:p>
    <w:p w14:paraId="52839701" w14:textId="77777777" w:rsidR="00EF1BE8" w:rsidRPr="002C0C08" w:rsidRDefault="00EF1BE8" w:rsidP="008C21A3">
      <w:pPr>
        <w:pStyle w:val="BodyText"/>
        <w:rPr>
          <w:sz w:val="20"/>
          <w:szCs w:val="20"/>
        </w:rPr>
      </w:pPr>
    </w:p>
    <w:p w14:paraId="1D44E578" w14:textId="77777777" w:rsidR="00EF1BE8" w:rsidRPr="002C0C08" w:rsidRDefault="00342AB6" w:rsidP="00540549">
      <w:pPr>
        <w:pStyle w:val="Heading4"/>
        <w:numPr>
          <w:ilvl w:val="1"/>
          <w:numId w:val="11"/>
        </w:numPr>
        <w:tabs>
          <w:tab w:val="left" w:pos="570"/>
          <w:tab w:val="left" w:pos="571"/>
        </w:tabs>
        <w:ind w:left="570" w:hanging="452"/>
        <w:rPr>
          <w:rFonts w:ascii="Times New Roman" w:hAnsi="Times New Roman" w:cs="Times New Roman"/>
          <w:i w:val="0"/>
          <w:sz w:val="20"/>
          <w:szCs w:val="20"/>
        </w:rPr>
      </w:pPr>
      <w:bookmarkStart w:id="7" w:name="2._The_Unit_Committee"/>
      <w:bookmarkEnd w:id="7"/>
      <w:r w:rsidRPr="002C0C08">
        <w:rPr>
          <w:rFonts w:ascii="Times New Roman" w:hAnsi="Times New Roman" w:cs="Times New Roman"/>
          <w:sz w:val="20"/>
          <w:szCs w:val="20"/>
        </w:rPr>
        <w:t>The Unit Committee</w:t>
      </w:r>
    </w:p>
    <w:p w14:paraId="7723F9D7" w14:textId="77777777" w:rsidR="00EF1BE8" w:rsidRPr="002C0C08" w:rsidRDefault="00EF1BE8" w:rsidP="008C21A3">
      <w:pPr>
        <w:pStyle w:val="BodyText"/>
        <w:rPr>
          <w:b/>
          <w:i/>
          <w:sz w:val="20"/>
          <w:szCs w:val="20"/>
        </w:rPr>
      </w:pPr>
    </w:p>
    <w:p w14:paraId="26563172" w14:textId="06EE5C7F" w:rsidR="00EF1BE8" w:rsidRPr="002C0C08" w:rsidRDefault="00342AB6" w:rsidP="008C21A3">
      <w:pPr>
        <w:pStyle w:val="BodyText"/>
        <w:ind w:left="248" w:right="314"/>
        <w:jc w:val="both"/>
        <w:rPr>
          <w:sz w:val="20"/>
          <w:szCs w:val="20"/>
        </w:rPr>
      </w:pPr>
      <w:r w:rsidRPr="002C0C08">
        <w:rPr>
          <w:sz w:val="20"/>
          <w:szCs w:val="20"/>
        </w:rPr>
        <w:t>The Unit Committee will be composed of tenured Full Professors, one elected by each Department and up to four appointed annually by the Dean of the School of Science to balance the committee consistent with the Department distribution of candidates to be considered. The Dean should also consider, in their appointments to the Unit Committee, faculty who have also been members of the departmental primary committees. In each department, the voting faculty will elect th</w:t>
      </w:r>
      <w:r w:rsidR="00540549" w:rsidRPr="002C0C08">
        <w:rPr>
          <w:sz w:val="20"/>
          <w:szCs w:val="20"/>
        </w:rPr>
        <w:t xml:space="preserve">e </w:t>
      </w:r>
      <w:r w:rsidRPr="002C0C08">
        <w:rPr>
          <w:sz w:val="20"/>
          <w:szCs w:val="20"/>
        </w:rPr>
        <w:t>representative to the Unit Committee, or the Primary Committee will elect this representative if the Primary Committee itself is elected by the voting faculty. It is recommended that the elected representative be a member of the departmental Primary Committee. The term for each Unit Committee member elected by a Department will normally be two years. The Dean of the School of Science will sit on this committee without vote to provide administrative information. The Dean may not otherwise participate in any way that will influence or affect decisions of the Committee.</w:t>
      </w:r>
    </w:p>
    <w:p w14:paraId="53B3B61C" w14:textId="77777777" w:rsidR="00EF1BE8" w:rsidRPr="002C0C08" w:rsidRDefault="00EF1BE8" w:rsidP="008C21A3">
      <w:pPr>
        <w:pStyle w:val="BodyText"/>
        <w:rPr>
          <w:sz w:val="20"/>
          <w:szCs w:val="20"/>
        </w:rPr>
      </w:pPr>
    </w:p>
    <w:p w14:paraId="305E25E4" w14:textId="65DAB914" w:rsidR="00EF1BE8" w:rsidRPr="002C0C08" w:rsidRDefault="00342AB6" w:rsidP="008C21A3">
      <w:pPr>
        <w:pStyle w:val="BodyText"/>
        <w:ind w:left="247" w:right="312" w:firstLine="1"/>
        <w:jc w:val="both"/>
        <w:rPr>
          <w:sz w:val="20"/>
          <w:szCs w:val="20"/>
        </w:rPr>
      </w:pPr>
      <w:r w:rsidRPr="002C0C08">
        <w:rPr>
          <w:sz w:val="20"/>
          <w:szCs w:val="20"/>
        </w:rPr>
        <w:t xml:space="preserve">The Unit Committee will meet at least three times each academic year. The first meeting will be called in early September by the Dean of the School of Science -- this meeting could be held virtually if agreed by all </w:t>
      </w:r>
      <w:r w:rsidRPr="002C0C08">
        <w:rPr>
          <w:sz w:val="20"/>
          <w:szCs w:val="20"/>
        </w:rPr>
        <w:lastRenderedPageBreak/>
        <w:t xml:space="preserve">the members of the Unit Committee. At its first meeting, the Unit Committee will elect its own Chair, its representative to the Campus Promotion and Tenure Committee and at its option, also a Vice Chair. The votes will be by secret ballot. At this meeting the calendar of events for personnel action will be presented by the Dean, and within the framework of this calendar a schedule for the second committee meeting will be established. At the second meeting, the committee will consider all candidates for promotion and/or tenure presented to it in proper form by the Primary Committees. Since it may be impossible to schedule this second meeting at a time when all committee members are free, it is understood that some members may find it necessary to make special arrangements in order to attend this meeting. (This is unarguably the most important yearly meeting of faculty, and thus it must take precedence over all other professional responsibilities.) The Unit Committee will conduct its business on the day initially scheduled for its meeting with the goal of completing all deliberations and voting in a single extended session. However, if needed due to the sheer volume of the cases or exceptional circumstances that preclude completion in a single day, this meeting may be conducted over multiple days so long as there are no significant time lapses between meetings. The dossier of each candidate must be complete and in the proper form at the time of presentation. The third meeting of the Committee will be called by the Unit Committee Chair after the completion of the </w:t>
      </w:r>
      <w:r w:rsidR="00B8385B" w:rsidRPr="002C0C08">
        <w:rPr>
          <w:sz w:val="20"/>
          <w:szCs w:val="20"/>
        </w:rPr>
        <w:t xml:space="preserve">Indiana University Indianapolis </w:t>
      </w:r>
      <w:r w:rsidRPr="002C0C08">
        <w:rPr>
          <w:sz w:val="20"/>
          <w:szCs w:val="20"/>
        </w:rPr>
        <w:t>promotion, tenure, and reappointment process to discuss potential modifications to the School of Science promotion, tenure, and reappointment process and to this document. This third meeting will also consider qualifying candidates for Third Year Reviews.</w:t>
      </w:r>
    </w:p>
    <w:p w14:paraId="26E06DE0" w14:textId="77777777" w:rsidR="00EF1BE8" w:rsidRPr="002C0C08" w:rsidRDefault="00EF1BE8" w:rsidP="008C21A3">
      <w:pPr>
        <w:pStyle w:val="BodyText"/>
        <w:rPr>
          <w:sz w:val="20"/>
          <w:szCs w:val="20"/>
        </w:rPr>
      </w:pPr>
    </w:p>
    <w:p w14:paraId="0AE4003F" w14:textId="77777777" w:rsidR="00EF1BE8" w:rsidRPr="002C0C08" w:rsidRDefault="00342AB6" w:rsidP="008C21A3">
      <w:pPr>
        <w:pStyle w:val="BodyText"/>
        <w:ind w:left="249" w:right="297" w:hanging="1"/>
        <w:jc w:val="both"/>
        <w:rPr>
          <w:sz w:val="20"/>
          <w:szCs w:val="20"/>
        </w:rPr>
      </w:pPr>
      <w:r w:rsidRPr="002C0C08">
        <w:rPr>
          <w:sz w:val="20"/>
          <w:szCs w:val="20"/>
        </w:rPr>
        <w:t>The Unit Committee may also assist the Dean, at their request, in considering negative reappointment decisions to ensure that faculty have been treated fairly and equitably.</w:t>
      </w:r>
    </w:p>
    <w:p w14:paraId="67EA2A81" w14:textId="77777777" w:rsidR="00EF1BE8" w:rsidRPr="002C0C08" w:rsidRDefault="00EF1BE8" w:rsidP="008C21A3">
      <w:pPr>
        <w:pStyle w:val="BodyText"/>
        <w:rPr>
          <w:sz w:val="20"/>
          <w:szCs w:val="20"/>
        </w:rPr>
      </w:pPr>
    </w:p>
    <w:p w14:paraId="1D6D8ADB" w14:textId="77777777" w:rsidR="00EF1BE8" w:rsidRPr="002C0C08" w:rsidRDefault="00342AB6" w:rsidP="008C21A3">
      <w:pPr>
        <w:pStyle w:val="BodyText"/>
        <w:ind w:left="248" w:right="400"/>
        <w:jc w:val="both"/>
        <w:rPr>
          <w:sz w:val="20"/>
          <w:szCs w:val="20"/>
        </w:rPr>
      </w:pPr>
      <w:r w:rsidRPr="002C0C08">
        <w:rPr>
          <w:sz w:val="20"/>
          <w:szCs w:val="20"/>
        </w:rPr>
        <w:t>The Primary Committee of each Department shall, at its request, have the opportunity to discuss the standards used to evaluate whether candidates meet the criteria for promotion and tenure with the Chair of the Unit Committee, the Dean of the School of Science, and the Unit Committee members of its Department (if not already members of its Primary Committee) following the second meeting of the Unit Committee.</w:t>
      </w:r>
    </w:p>
    <w:p w14:paraId="0E74ADEE" w14:textId="77777777" w:rsidR="00EF1BE8" w:rsidRPr="002C0C08" w:rsidRDefault="00EF1BE8" w:rsidP="008C21A3">
      <w:pPr>
        <w:pStyle w:val="BodyText"/>
        <w:rPr>
          <w:sz w:val="20"/>
          <w:szCs w:val="20"/>
        </w:rPr>
      </w:pPr>
    </w:p>
    <w:p w14:paraId="2D414A0B" w14:textId="77777777" w:rsidR="00EF1BE8" w:rsidRPr="002C0C08" w:rsidRDefault="00342AB6" w:rsidP="00540549">
      <w:pPr>
        <w:pStyle w:val="BodyText"/>
        <w:ind w:left="248"/>
        <w:jc w:val="both"/>
        <w:rPr>
          <w:sz w:val="20"/>
          <w:szCs w:val="20"/>
        </w:rPr>
      </w:pPr>
      <w:r w:rsidRPr="002C0C08">
        <w:rPr>
          <w:sz w:val="20"/>
          <w:szCs w:val="20"/>
        </w:rPr>
        <w:t>Further general procedures and rules of operation of this committee are as follows:</w:t>
      </w:r>
    </w:p>
    <w:p w14:paraId="3CC265E2" w14:textId="77777777" w:rsidR="00EF1BE8" w:rsidRPr="002C0C08" w:rsidRDefault="00EF1BE8" w:rsidP="008C21A3">
      <w:pPr>
        <w:pStyle w:val="BodyText"/>
        <w:rPr>
          <w:sz w:val="20"/>
          <w:szCs w:val="20"/>
        </w:rPr>
      </w:pPr>
    </w:p>
    <w:p w14:paraId="08CB596F" w14:textId="77777777" w:rsidR="00EF1BE8" w:rsidRPr="002C0C08" w:rsidRDefault="00342AB6" w:rsidP="00540549">
      <w:pPr>
        <w:pStyle w:val="ListParagraph"/>
        <w:numPr>
          <w:ilvl w:val="2"/>
          <w:numId w:val="11"/>
        </w:numPr>
        <w:tabs>
          <w:tab w:val="left" w:pos="1237"/>
          <w:tab w:val="left" w:pos="1238"/>
        </w:tabs>
        <w:ind w:left="1237" w:hanging="361"/>
        <w:rPr>
          <w:sz w:val="20"/>
          <w:szCs w:val="20"/>
        </w:rPr>
      </w:pPr>
      <w:r w:rsidRPr="002C0C08">
        <w:rPr>
          <w:sz w:val="20"/>
          <w:szCs w:val="20"/>
        </w:rPr>
        <w:t>No meeting of the committee will start until all members are present.</w:t>
      </w:r>
    </w:p>
    <w:p w14:paraId="7C32B1FD" w14:textId="77777777" w:rsidR="00EF1BE8" w:rsidRPr="002C0C08" w:rsidRDefault="00342AB6" w:rsidP="008C21A3">
      <w:pPr>
        <w:pStyle w:val="ListParagraph"/>
        <w:numPr>
          <w:ilvl w:val="2"/>
          <w:numId w:val="11"/>
        </w:numPr>
        <w:tabs>
          <w:tab w:val="left" w:pos="1237"/>
          <w:tab w:val="left" w:pos="1238"/>
        </w:tabs>
        <w:ind w:left="1237" w:hanging="361"/>
        <w:rPr>
          <w:sz w:val="20"/>
          <w:szCs w:val="20"/>
        </w:rPr>
      </w:pPr>
      <w:r w:rsidRPr="002C0C08">
        <w:rPr>
          <w:sz w:val="20"/>
          <w:szCs w:val="20"/>
        </w:rPr>
        <w:t>No one can substitute for a member of the committee at any committee meeting.</w:t>
      </w:r>
    </w:p>
    <w:p w14:paraId="3FE33FBB" w14:textId="77777777" w:rsidR="00EF1BE8" w:rsidRPr="002C0C08" w:rsidRDefault="00342AB6" w:rsidP="008C21A3">
      <w:pPr>
        <w:pStyle w:val="ListParagraph"/>
        <w:numPr>
          <w:ilvl w:val="2"/>
          <w:numId w:val="11"/>
        </w:numPr>
        <w:tabs>
          <w:tab w:val="left" w:pos="1237"/>
          <w:tab w:val="left" w:pos="1238"/>
        </w:tabs>
        <w:ind w:left="1237" w:hanging="361"/>
        <w:rPr>
          <w:sz w:val="20"/>
          <w:szCs w:val="20"/>
        </w:rPr>
      </w:pPr>
      <w:r w:rsidRPr="002C0C08">
        <w:rPr>
          <w:sz w:val="20"/>
          <w:szCs w:val="20"/>
        </w:rPr>
        <w:t>No visitors are allowed in any committee meeting.</w:t>
      </w:r>
    </w:p>
    <w:p w14:paraId="0C10B67D" w14:textId="77777777" w:rsidR="00EF1BE8" w:rsidRPr="002C0C08" w:rsidRDefault="00342AB6" w:rsidP="008C21A3">
      <w:pPr>
        <w:pStyle w:val="ListParagraph"/>
        <w:numPr>
          <w:ilvl w:val="2"/>
          <w:numId w:val="11"/>
        </w:numPr>
        <w:tabs>
          <w:tab w:val="left" w:pos="1237"/>
          <w:tab w:val="left" w:pos="1238"/>
        </w:tabs>
        <w:ind w:left="1237" w:right="248" w:hanging="360"/>
        <w:rPr>
          <w:sz w:val="20"/>
          <w:szCs w:val="20"/>
        </w:rPr>
      </w:pPr>
      <w:r w:rsidRPr="002C0C08">
        <w:rPr>
          <w:sz w:val="20"/>
          <w:szCs w:val="20"/>
        </w:rPr>
        <w:t>If any member of the committee must leave any meeting of the committee, deliberations of the committee are suspended until all members are again present.</w:t>
      </w:r>
    </w:p>
    <w:p w14:paraId="5EFA5849" w14:textId="5F6C4DFE" w:rsidR="00EF1BE8" w:rsidRPr="002C0C08" w:rsidRDefault="00342AB6" w:rsidP="008C21A3">
      <w:pPr>
        <w:pStyle w:val="ListParagraph"/>
        <w:numPr>
          <w:ilvl w:val="2"/>
          <w:numId w:val="11"/>
        </w:numPr>
        <w:tabs>
          <w:tab w:val="left" w:pos="1237"/>
          <w:tab w:val="left" w:pos="1238"/>
        </w:tabs>
        <w:ind w:left="1237" w:hanging="361"/>
        <w:rPr>
          <w:sz w:val="20"/>
          <w:szCs w:val="20"/>
        </w:rPr>
      </w:pPr>
      <w:r w:rsidRPr="002C0C08">
        <w:rPr>
          <w:sz w:val="20"/>
          <w:szCs w:val="20"/>
        </w:rPr>
        <w:t>Files of all candidates for promotion and tenure shall be distributed by the Dean and the</w:t>
      </w:r>
      <w:r w:rsidR="00540549" w:rsidRPr="002C0C08">
        <w:rPr>
          <w:sz w:val="20"/>
          <w:szCs w:val="20"/>
        </w:rPr>
        <w:t xml:space="preserve"> </w:t>
      </w:r>
      <w:r w:rsidRPr="002C0C08">
        <w:rPr>
          <w:sz w:val="20"/>
          <w:szCs w:val="20"/>
        </w:rPr>
        <w:t xml:space="preserve">Chair of the Unit Committee to each member of the Unit Committee at least two weeks in advance of the meeting at which candidates are to be considered. A copy of the most recent version of </w:t>
      </w:r>
      <w:r w:rsidRPr="002C0C08">
        <w:rPr>
          <w:i/>
          <w:sz w:val="20"/>
          <w:szCs w:val="20"/>
        </w:rPr>
        <w:t xml:space="preserve">The </w:t>
      </w:r>
      <w:r w:rsidR="00C905A9" w:rsidRPr="002C0C08">
        <w:rPr>
          <w:i/>
          <w:sz w:val="20"/>
          <w:szCs w:val="20"/>
        </w:rPr>
        <w:t>Indiana University Indianapolis</w:t>
      </w:r>
      <w:r w:rsidRPr="002C0C08">
        <w:rPr>
          <w:i/>
          <w:sz w:val="20"/>
          <w:szCs w:val="20"/>
        </w:rPr>
        <w:t xml:space="preserve"> School of Science Criteria, Standards and Documentation Guidelines for Promotion, Tenure, and Reappointment </w:t>
      </w:r>
      <w:r w:rsidRPr="002C0C08">
        <w:rPr>
          <w:sz w:val="20"/>
          <w:szCs w:val="20"/>
        </w:rPr>
        <w:t>shall be distributed to each member of the Unit Committee at the same time.</w:t>
      </w:r>
    </w:p>
    <w:p w14:paraId="4519E3B4" w14:textId="77777777" w:rsidR="00EF1BE8" w:rsidRPr="002C0C08" w:rsidRDefault="00342AB6" w:rsidP="008C21A3">
      <w:pPr>
        <w:pStyle w:val="ListParagraph"/>
        <w:numPr>
          <w:ilvl w:val="2"/>
          <w:numId w:val="11"/>
        </w:numPr>
        <w:tabs>
          <w:tab w:val="left" w:pos="1238"/>
        </w:tabs>
        <w:ind w:left="1237" w:right="251" w:hanging="360"/>
        <w:jc w:val="both"/>
        <w:rPr>
          <w:sz w:val="20"/>
          <w:szCs w:val="20"/>
        </w:rPr>
      </w:pPr>
      <w:r w:rsidRPr="002C0C08">
        <w:rPr>
          <w:sz w:val="20"/>
          <w:szCs w:val="20"/>
        </w:rPr>
        <w:t>The Dean shall be responsible for forwarding all promotion, tenure, and reappointment documents in the proper form from the Unit Committee to the next level in the review process.</w:t>
      </w:r>
    </w:p>
    <w:p w14:paraId="0D413B8C" w14:textId="77777777" w:rsidR="00EF1BE8" w:rsidRPr="002C0C08" w:rsidRDefault="00EF1BE8" w:rsidP="008C21A3">
      <w:pPr>
        <w:pStyle w:val="BodyText"/>
        <w:rPr>
          <w:sz w:val="20"/>
          <w:szCs w:val="20"/>
        </w:rPr>
      </w:pPr>
    </w:p>
    <w:p w14:paraId="1A962475" w14:textId="77777777" w:rsidR="00EF1BE8" w:rsidRPr="002C0C08" w:rsidRDefault="00342AB6" w:rsidP="00540549">
      <w:pPr>
        <w:pStyle w:val="Heading3"/>
        <w:numPr>
          <w:ilvl w:val="1"/>
          <w:numId w:val="11"/>
        </w:numPr>
        <w:tabs>
          <w:tab w:val="left" w:pos="470"/>
        </w:tabs>
        <w:ind w:left="469" w:hanging="351"/>
        <w:rPr>
          <w:sz w:val="20"/>
          <w:szCs w:val="20"/>
        </w:rPr>
      </w:pPr>
      <w:bookmarkStart w:id="8" w:name="3._Procedures_for_Review_of_Promotion_an"/>
      <w:bookmarkEnd w:id="8"/>
      <w:r w:rsidRPr="002C0C08">
        <w:rPr>
          <w:sz w:val="20"/>
          <w:szCs w:val="20"/>
        </w:rPr>
        <w:t>Procedures for Review of Promotion and Tenure Candidates</w:t>
      </w:r>
    </w:p>
    <w:p w14:paraId="0D0151A2" w14:textId="77777777" w:rsidR="00EF1BE8" w:rsidRPr="002C0C08" w:rsidRDefault="00EF1BE8" w:rsidP="008C21A3">
      <w:pPr>
        <w:pStyle w:val="BodyText"/>
        <w:rPr>
          <w:b/>
          <w:sz w:val="20"/>
          <w:szCs w:val="20"/>
        </w:rPr>
      </w:pPr>
    </w:p>
    <w:p w14:paraId="06A55F04" w14:textId="77777777" w:rsidR="00EF1BE8" w:rsidRPr="002C0C08" w:rsidRDefault="00342AB6" w:rsidP="008C21A3">
      <w:pPr>
        <w:pStyle w:val="BodyText"/>
        <w:ind w:left="248" w:right="315"/>
        <w:jc w:val="both"/>
        <w:rPr>
          <w:sz w:val="20"/>
          <w:szCs w:val="20"/>
        </w:rPr>
      </w:pPr>
      <w:r w:rsidRPr="002C0C08">
        <w:rPr>
          <w:sz w:val="20"/>
          <w:szCs w:val="20"/>
        </w:rPr>
        <w:t>The following procedures and rules of operation apply to the meeting at which candidates for promotion and/or tenure are considered. The Unit Committee Chair is responsible for reminding the Committee of each of these at the beginning of that meeting, and seeing that they are followed:</w:t>
      </w:r>
    </w:p>
    <w:p w14:paraId="113AC18C" w14:textId="77777777" w:rsidR="00EF1BE8" w:rsidRPr="002C0C08" w:rsidRDefault="00EF1BE8" w:rsidP="008C21A3">
      <w:pPr>
        <w:pStyle w:val="BodyText"/>
        <w:rPr>
          <w:sz w:val="20"/>
          <w:szCs w:val="20"/>
        </w:rPr>
      </w:pPr>
    </w:p>
    <w:p w14:paraId="161FC7F7" w14:textId="5E962BF8" w:rsidR="00EF1BE8" w:rsidRPr="002C0C08" w:rsidRDefault="00342AB6" w:rsidP="008C21A3">
      <w:pPr>
        <w:pStyle w:val="ListParagraph"/>
        <w:numPr>
          <w:ilvl w:val="0"/>
          <w:numId w:val="8"/>
        </w:numPr>
        <w:tabs>
          <w:tab w:val="left" w:pos="1329"/>
        </w:tabs>
        <w:ind w:right="246"/>
        <w:jc w:val="both"/>
        <w:rPr>
          <w:sz w:val="20"/>
          <w:szCs w:val="20"/>
        </w:rPr>
      </w:pPr>
      <w:r w:rsidRPr="002C0C08">
        <w:rPr>
          <w:sz w:val="20"/>
          <w:szCs w:val="20"/>
        </w:rPr>
        <w:t xml:space="preserve">The sole rules governing the deliberations of the Committee will be the version of </w:t>
      </w:r>
      <w:r w:rsidRPr="002C0C08">
        <w:rPr>
          <w:i/>
          <w:sz w:val="20"/>
          <w:szCs w:val="20"/>
        </w:rPr>
        <w:t xml:space="preserve">The </w:t>
      </w:r>
      <w:r w:rsidR="00C905A9" w:rsidRPr="002C0C08">
        <w:rPr>
          <w:i/>
          <w:sz w:val="20"/>
          <w:szCs w:val="20"/>
        </w:rPr>
        <w:t>Indiana University Indianapolis</w:t>
      </w:r>
      <w:r w:rsidRPr="002C0C08">
        <w:rPr>
          <w:i/>
          <w:sz w:val="20"/>
          <w:szCs w:val="20"/>
        </w:rPr>
        <w:t xml:space="preserve"> School of Science Criteria, Standards and Documentation Guidelines for Promotion, Tenure, and Reappointment </w:t>
      </w:r>
      <w:r w:rsidRPr="002C0C08">
        <w:rPr>
          <w:sz w:val="20"/>
          <w:szCs w:val="20"/>
        </w:rPr>
        <w:t>distributed earlier [see item (e) above]. No other rules will apply. (The purpose of this policy is to decouple discussion of the rules to be followed from discussion of the specific individuals to be considered. All relevant rules must be incorporated into the Promotion, Tenure, and Reappointment document prior to the discussion of candidates.)</w:t>
      </w:r>
    </w:p>
    <w:p w14:paraId="5C4719BB" w14:textId="77777777" w:rsidR="00EF1BE8" w:rsidRPr="002C0C08" w:rsidRDefault="00EF1BE8" w:rsidP="008C21A3">
      <w:pPr>
        <w:pStyle w:val="BodyText"/>
        <w:rPr>
          <w:sz w:val="20"/>
          <w:szCs w:val="20"/>
        </w:rPr>
      </w:pPr>
    </w:p>
    <w:p w14:paraId="2EB31452" w14:textId="4A302308" w:rsidR="00EF1BE8" w:rsidRPr="002C0C08" w:rsidRDefault="00342AB6" w:rsidP="008C21A3">
      <w:pPr>
        <w:pStyle w:val="ListParagraph"/>
        <w:numPr>
          <w:ilvl w:val="0"/>
          <w:numId w:val="8"/>
        </w:numPr>
        <w:tabs>
          <w:tab w:val="left" w:pos="1329"/>
        </w:tabs>
        <w:ind w:right="250"/>
        <w:jc w:val="both"/>
        <w:rPr>
          <w:sz w:val="20"/>
          <w:szCs w:val="20"/>
        </w:rPr>
      </w:pPr>
      <w:r w:rsidRPr="002C0C08">
        <w:rPr>
          <w:sz w:val="20"/>
          <w:szCs w:val="20"/>
        </w:rPr>
        <w:t>The candidates to be considered are not in competition with each other: each</w:t>
      </w:r>
      <w:r w:rsidR="00926EA4" w:rsidRPr="002C0C08">
        <w:rPr>
          <w:sz w:val="20"/>
          <w:szCs w:val="20"/>
        </w:rPr>
        <w:t xml:space="preserve"> </w:t>
      </w:r>
      <w:r w:rsidRPr="002C0C08">
        <w:rPr>
          <w:sz w:val="20"/>
          <w:szCs w:val="20"/>
        </w:rPr>
        <w:t xml:space="preserve">candidate should </w:t>
      </w:r>
      <w:r w:rsidRPr="002C0C08">
        <w:rPr>
          <w:sz w:val="20"/>
          <w:szCs w:val="20"/>
        </w:rPr>
        <w:lastRenderedPageBreak/>
        <w:t>be judged on their own merit.</w:t>
      </w:r>
    </w:p>
    <w:p w14:paraId="271F4B28" w14:textId="77777777" w:rsidR="00EF1BE8" w:rsidRPr="002C0C08" w:rsidRDefault="00EF1BE8" w:rsidP="008C21A3">
      <w:pPr>
        <w:pStyle w:val="BodyText"/>
        <w:rPr>
          <w:sz w:val="20"/>
          <w:szCs w:val="20"/>
        </w:rPr>
      </w:pPr>
    </w:p>
    <w:p w14:paraId="76930E4D" w14:textId="77777777" w:rsidR="00EF1BE8" w:rsidRPr="002C0C08" w:rsidRDefault="00342AB6" w:rsidP="008C21A3">
      <w:pPr>
        <w:pStyle w:val="ListParagraph"/>
        <w:numPr>
          <w:ilvl w:val="0"/>
          <w:numId w:val="8"/>
        </w:numPr>
        <w:tabs>
          <w:tab w:val="left" w:pos="1329"/>
        </w:tabs>
        <w:ind w:right="247"/>
        <w:jc w:val="both"/>
        <w:rPr>
          <w:sz w:val="20"/>
          <w:szCs w:val="20"/>
        </w:rPr>
      </w:pPr>
      <w:r w:rsidRPr="002C0C08">
        <w:rPr>
          <w:sz w:val="20"/>
          <w:szCs w:val="20"/>
        </w:rPr>
        <w:t>The School of Science policy is that promotion, tenure, and reappointment decisions are to be made substantively at the Department level, where the faculty member’s activities are best known and can best be evaluated. Thus the Primary Committees’ decisions must carry serious weight, with Department representatives (to the Unit Committee) being fully prepared to justify decisions in response to questions from the Unit Committee. The Unit Committee’s role is to validate that candidates meet stated Department, School of Science, and University criteria, and that the evaluation procedure and decision of the Primary Committee accurately reflect the School of Science criteria for promotion and tenure.</w:t>
      </w:r>
    </w:p>
    <w:p w14:paraId="029898D6" w14:textId="77777777" w:rsidR="00EF1BE8" w:rsidRPr="002C0C08" w:rsidRDefault="00EF1BE8" w:rsidP="008C21A3">
      <w:pPr>
        <w:pStyle w:val="BodyText"/>
        <w:rPr>
          <w:sz w:val="20"/>
          <w:szCs w:val="20"/>
        </w:rPr>
      </w:pPr>
    </w:p>
    <w:p w14:paraId="332BFCC5" w14:textId="77777777" w:rsidR="00EF1BE8" w:rsidRPr="002C0C08" w:rsidRDefault="00342AB6" w:rsidP="008C21A3">
      <w:pPr>
        <w:pStyle w:val="ListParagraph"/>
        <w:numPr>
          <w:ilvl w:val="0"/>
          <w:numId w:val="8"/>
        </w:numPr>
        <w:tabs>
          <w:tab w:val="left" w:pos="1329"/>
        </w:tabs>
        <w:ind w:right="248"/>
        <w:jc w:val="both"/>
        <w:rPr>
          <w:sz w:val="20"/>
          <w:szCs w:val="20"/>
        </w:rPr>
      </w:pPr>
      <w:r w:rsidRPr="002C0C08">
        <w:rPr>
          <w:sz w:val="20"/>
          <w:szCs w:val="20"/>
        </w:rPr>
        <w:t>Candidates should not be judged for mistakes and deficiencies in their dossiers before the Committee has had the chance to discuss them. Mistakes and deficiencies naturally occur and naturally generate discussion. The goal of committee discussion should be to identify whether mistakes and deficiencies are inadvertent and can be corrected prior to the next level of review, or whether they are serious and adequate cause for a negative vote.</w:t>
      </w:r>
    </w:p>
    <w:p w14:paraId="398CDFCB" w14:textId="77777777" w:rsidR="00EF1BE8" w:rsidRPr="002C0C08" w:rsidRDefault="00EF1BE8" w:rsidP="00540549">
      <w:pPr>
        <w:pStyle w:val="BodyText"/>
        <w:rPr>
          <w:sz w:val="20"/>
          <w:szCs w:val="20"/>
        </w:rPr>
      </w:pPr>
    </w:p>
    <w:p w14:paraId="33CB81B6" w14:textId="24D25A50" w:rsidR="00EF1BE8" w:rsidRPr="002C0C08" w:rsidRDefault="00342AB6" w:rsidP="008C21A3">
      <w:pPr>
        <w:pStyle w:val="ListParagraph"/>
        <w:numPr>
          <w:ilvl w:val="0"/>
          <w:numId w:val="8"/>
        </w:numPr>
        <w:tabs>
          <w:tab w:val="left" w:pos="1329"/>
        </w:tabs>
        <w:ind w:right="244"/>
        <w:jc w:val="both"/>
        <w:rPr>
          <w:sz w:val="20"/>
          <w:szCs w:val="20"/>
        </w:rPr>
      </w:pPr>
      <w:r w:rsidRPr="002C0C08">
        <w:rPr>
          <w:sz w:val="20"/>
          <w:szCs w:val="20"/>
        </w:rPr>
        <w:t>The general criteria for promotion and tenure to the rank of Associate Professor is a significant record of accomplishment and promise of continued professional growth and recognition; for promotion to the rank of Full Professor the candidate should be recognized as an authority in the appropriate field of specialization by external colleagues. The School of Science requires that for promotion to any professorial</w:t>
      </w:r>
      <w:r w:rsidR="00926EA4" w:rsidRPr="002C0C08">
        <w:rPr>
          <w:sz w:val="20"/>
          <w:szCs w:val="20"/>
        </w:rPr>
        <w:t xml:space="preserve"> </w:t>
      </w:r>
      <w:r w:rsidRPr="002C0C08">
        <w:rPr>
          <w:sz w:val="20"/>
          <w:szCs w:val="20"/>
        </w:rPr>
        <w:t>rank, the candidate must perform well in the areas of teaching, research, and service, recognizing that the weighting will be different for each candidate. Promotion to Associate Professor requires excellent performance in at least one (but not all) of the</w:t>
      </w:r>
      <w:r w:rsidR="00540549" w:rsidRPr="002C0C08">
        <w:rPr>
          <w:sz w:val="20"/>
          <w:szCs w:val="20"/>
        </w:rPr>
        <w:t xml:space="preserve"> </w:t>
      </w:r>
      <w:r w:rsidRPr="002C0C08">
        <w:rPr>
          <w:sz w:val="20"/>
          <w:szCs w:val="20"/>
        </w:rPr>
        <w:t>areas, and promotion to Full Professor requires sustained excellent performance in at least one of the areas. The remaining areas require performance at least at a satisfactory level. Unsatisfactory performance in any area will preclude promotion or receipt of tenure. Promotion to Senior Lecturer requires excellent performance in teaching, including a clearly demonstrated record of high quality, effective teaching, effective course and curricular development, and scholarly creation and dissemination of knowledge about teaching and/or pedagogy, along with at least satisfactory performance in service.</w:t>
      </w:r>
    </w:p>
    <w:p w14:paraId="213BFE9B" w14:textId="77777777" w:rsidR="00EF1BE8" w:rsidRPr="002C0C08" w:rsidRDefault="00EF1BE8" w:rsidP="008C21A3">
      <w:pPr>
        <w:pStyle w:val="BodyText"/>
        <w:rPr>
          <w:sz w:val="20"/>
          <w:szCs w:val="20"/>
        </w:rPr>
      </w:pPr>
    </w:p>
    <w:p w14:paraId="15A351D5" w14:textId="77777777" w:rsidR="00EF1BE8" w:rsidRPr="002C0C08" w:rsidRDefault="00342AB6" w:rsidP="008C21A3">
      <w:pPr>
        <w:pStyle w:val="ListParagraph"/>
        <w:numPr>
          <w:ilvl w:val="0"/>
          <w:numId w:val="8"/>
        </w:numPr>
        <w:tabs>
          <w:tab w:val="left" w:pos="1329"/>
        </w:tabs>
        <w:ind w:right="250"/>
        <w:jc w:val="both"/>
        <w:rPr>
          <w:sz w:val="20"/>
          <w:szCs w:val="20"/>
        </w:rPr>
      </w:pPr>
      <w:r w:rsidRPr="002C0C08">
        <w:rPr>
          <w:sz w:val="20"/>
          <w:szCs w:val="20"/>
        </w:rPr>
        <w:t>It is the duty of the Chair to keep the discussion on track, and the duty of members of the committee to refrain from raising concerns extraneous to any candidate’s case.</w:t>
      </w:r>
    </w:p>
    <w:p w14:paraId="358723D5" w14:textId="77777777" w:rsidR="00EF1BE8" w:rsidRPr="002C0C08" w:rsidRDefault="00EF1BE8" w:rsidP="008C21A3">
      <w:pPr>
        <w:pStyle w:val="BodyText"/>
        <w:rPr>
          <w:sz w:val="20"/>
          <w:szCs w:val="20"/>
        </w:rPr>
      </w:pPr>
    </w:p>
    <w:p w14:paraId="1C7678D9" w14:textId="22A4D7C5" w:rsidR="00EF1BE8" w:rsidRPr="002C0C08" w:rsidRDefault="00342AB6" w:rsidP="008C21A3">
      <w:pPr>
        <w:pStyle w:val="ListParagraph"/>
        <w:numPr>
          <w:ilvl w:val="0"/>
          <w:numId w:val="8"/>
        </w:numPr>
        <w:tabs>
          <w:tab w:val="left" w:pos="1329"/>
        </w:tabs>
        <w:ind w:right="243"/>
        <w:jc w:val="both"/>
        <w:rPr>
          <w:sz w:val="20"/>
          <w:szCs w:val="20"/>
        </w:rPr>
      </w:pPr>
      <w:r w:rsidRPr="002C0C08">
        <w:rPr>
          <w:sz w:val="20"/>
          <w:szCs w:val="20"/>
        </w:rPr>
        <w:t xml:space="preserve">Each member of this committee is obligated to act professionally and in good faith. Further, each member of this committee is expected to demonstrate respect for every candidate and every other member of the committee. The discussions and decisions of this committee are among the most important at </w:t>
      </w:r>
      <w:r w:rsidR="00B8385B" w:rsidRPr="002C0C08">
        <w:rPr>
          <w:sz w:val="20"/>
          <w:szCs w:val="20"/>
        </w:rPr>
        <w:t>Indiana University Indianapolis</w:t>
      </w:r>
      <w:r w:rsidRPr="002C0C08">
        <w:rPr>
          <w:sz w:val="20"/>
          <w:szCs w:val="20"/>
        </w:rPr>
        <w:t>. The futures of the University, the School of Science, the Department, and the individual faculty member are largely determined by them. It is essential that each candidate be treated fairly and measured against specific and explicitly stated criteria. The deliberations of the Committee and the documents presented to the Committee are strictly confidential.</w:t>
      </w:r>
    </w:p>
    <w:p w14:paraId="0806E7D7" w14:textId="77777777" w:rsidR="00EF1BE8" w:rsidRPr="002C0C08" w:rsidRDefault="00EF1BE8" w:rsidP="008C21A3">
      <w:pPr>
        <w:pStyle w:val="BodyText"/>
        <w:rPr>
          <w:sz w:val="20"/>
          <w:szCs w:val="20"/>
        </w:rPr>
      </w:pPr>
    </w:p>
    <w:p w14:paraId="0BF8CFC4" w14:textId="77777777" w:rsidR="00EF1BE8" w:rsidRPr="002C0C08" w:rsidRDefault="00342AB6" w:rsidP="008C21A3">
      <w:pPr>
        <w:pStyle w:val="ListParagraph"/>
        <w:numPr>
          <w:ilvl w:val="0"/>
          <w:numId w:val="8"/>
        </w:numPr>
        <w:tabs>
          <w:tab w:val="left" w:pos="1329"/>
        </w:tabs>
        <w:ind w:right="252"/>
        <w:jc w:val="both"/>
        <w:rPr>
          <w:sz w:val="20"/>
          <w:szCs w:val="20"/>
        </w:rPr>
      </w:pPr>
      <w:r w:rsidRPr="002C0C08">
        <w:rPr>
          <w:sz w:val="20"/>
          <w:szCs w:val="20"/>
        </w:rPr>
        <w:t>Consideration for promotion shall proceed in order, first those cases for promotion from Associate to Full Professor, then those cases for promotion from Assistant to Associate Professor, in alphabetical order by last name.</w:t>
      </w:r>
    </w:p>
    <w:p w14:paraId="41C464D0" w14:textId="77777777" w:rsidR="00EF1BE8" w:rsidRPr="002C0C08" w:rsidRDefault="00EF1BE8" w:rsidP="008C21A3">
      <w:pPr>
        <w:pStyle w:val="BodyText"/>
        <w:rPr>
          <w:sz w:val="20"/>
          <w:szCs w:val="20"/>
        </w:rPr>
      </w:pPr>
    </w:p>
    <w:p w14:paraId="265C520F" w14:textId="77777777" w:rsidR="00EF1BE8" w:rsidRPr="002C0C08" w:rsidRDefault="00342AB6" w:rsidP="008C21A3">
      <w:pPr>
        <w:pStyle w:val="ListParagraph"/>
        <w:numPr>
          <w:ilvl w:val="0"/>
          <w:numId w:val="8"/>
        </w:numPr>
        <w:tabs>
          <w:tab w:val="left" w:pos="1329"/>
        </w:tabs>
        <w:ind w:right="246"/>
        <w:jc w:val="both"/>
        <w:rPr>
          <w:sz w:val="20"/>
          <w:szCs w:val="20"/>
        </w:rPr>
      </w:pPr>
      <w:r w:rsidRPr="002C0C08">
        <w:rPr>
          <w:sz w:val="20"/>
          <w:szCs w:val="20"/>
        </w:rPr>
        <w:t>Prior to the discussion of any of the cases, the Chair will assign each case with a reader (a member not from the Department or the Primary Committee of the case) who will be responsible to summarize in writing the Unit Committee’s deliberation and recommendation on the case.</w:t>
      </w:r>
    </w:p>
    <w:p w14:paraId="3EC4E2C4" w14:textId="77777777" w:rsidR="00EF1BE8" w:rsidRPr="002C0C08" w:rsidRDefault="00EF1BE8" w:rsidP="008C21A3">
      <w:pPr>
        <w:pStyle w:val="BodyText"/>
        <w:rPr>
          <w:sz w:val="20"/>
          <w:szCs w:val="20"/>
        </w:rPr>
      </w:pPr>
    </w:p>
    <w:p w14:paraId="223C4076" w14:textId="77777777" w:rsidR="00EF1BE8" w:rsidRPr="002C0C08" w:rsidRDefault="00342AB6" w:rsidP="008C21A3">
      <w:pPr>
        <w:pStyle w:val="ListParagraph"/>
        <w:numPr>
          <w:ilvl w:val="0"/>
          <w:numId w:val="8"/>
        </w:numPr>
        <w:tabs>
          <w:tab w:val="left" w:pos="1329"/>
        </w:tabs>
        <w:ind w:right="255"/>
        <w:jc w:val="both"/>
        <w:rPr>
          <w:sz w:val="20"/>
          <w:szCs w:val="20"/>
        </w:rPr>
      </w:pPr>
      <w:r w:rsidRPr="002C0C08">
        <w:rPr>
          <w:sz w:val="20"/>
          <w:szCs w:val="20"/>
        </w:rPr>
        <w:t>The discussion of each candidate will be preceded by a brief (approximately 5 minute) presentation of the candidate for promotion (and/or tenure) by a committee member from the candidate’s Department who served on the Department Primary Committee. The assigned reader will serve as a second presenter of the case. There is no time limit on the discussion of any candidate. The Committee Vice Chair will preside during deliberations on all candidates from the Department of the Committee Chair.</w:t>
      </w:r>
    </w:p>
    <w:p w14:paraId="7C81BEBD" w14:textId="77777777" w:rsidR="00EF1BE8" w:rsidRPr="002C0C08" w:rsidRDefault="00EF1BE8" w:rsidP="008C21A3">
      <w:pPr>
        <w:pStyle w:val="BodyText"/>
        <w:rPr>
          <w:sz w:val="20"/>
          <w:szCs w:val="20"/>
        </w:rPr>
      </w:pPr>
    </w:p>
    <w:p w14:paraId="187F4AA1" w14:textId="77777777" w:rsidR="00EF1BE8" w:rsidRPr="002C0C08" w:rsidRDefault="00342AB6" w:rsidP="008C21A3">
      <w:pPr>
        <w:pStyle w:val="ListParagraph"/>
        <w:numPr>
          <w:ilvl w:val="0"/>
          <w:numId w:val="8"/>
        </w:numPr>
        <w:tabs>
          <w:tab w:val="left" w:pos="1329"/>
        </w:tabs>
        <w:ind w:right="245" w:hanging="363"/>
        <w:jc w:val="both"/>
        <w:rPr>
          <w:sz w:val="20"/>
          <w:szCs w:val="20"/>
        </w:rPr>
      </w:pPr>
      <w:r w:rsidRPr="002C0C08">
        <w:rPr>
          <w:sz w:val="20"/>
          <w:szCs w:val="20"/>
        </w:rPr>
        <w:t>A vote will be taken on each candidate by secret ballot immediately following the completion of the discussion of the candidate. When promotion and tenure are both being considered, promotion and tenure will be voted on simultaneously but as separate ballot items. The vote(s) on each candidate will be tallied only after all candidates for all ranks have been considered. After voting for the last candidate, ballots will be counted twice for each candidate, and the results announced at that time.</w:t>
      </w:r>
    </w:p>
    <w:p w14:paraId="665EC09A" w14:textId="77777777" w:rsidR="00EF1BE8" w:rsidRPr="002C0C08" w:rsidRDefault="00EF1BE8" w:rsidP="008C21A3">
      <w:pPr>
        <w:pStyle w:val="BodyText"/>
        <w:rPr>
          <w:sz w:val="20"/>
          <w:szCs w:val="20"/>
        </w:rPr>
      </w:pPr>
    </w:p>
    <w:p w14:paraId="366890A4" w14:textId="777F2EDA" w:rsidR="00540549" w:rsidRPr="002C0C08" w:rsidRDefault="00342AB6" w:rsidP="008C21A3">
      <w:pPr>
        <w:pStyle w:val="ListParagraph"/>
        <w:numPr>
          <w:ilvl w:val="0"/>
          <w:numId w:val="8"/>
        </w:numPr>
        <w:tabs>
          <w:tab w:val="left" w:pos="1329"/>
        </w:tabs>
        <w:ind w:right="248"/>
        <w:jc w:val="both"/>
        <w:rPr>
          <w:sz w:val="20"/>
          <w:szCs w:val="20"/>
        </w:rPr>
      </w:pPr>
      <w:r w:rsidRPr="002C0C08">
        <w:rPr>
          <w:sz w:val="20"/>
          <w:szCs w:val="20"/>
        </w:rPr>
        <w:t xml:space="preserve">No member of the Unit Committee who voted previously on a candidate’s case at the Primary Committee level is permitted to vote again on the same case at the Unit Committee. This assures that each voting member votes only once on the tenure or promotion of any candidate throughout the tenure and promotion process. Unit Committee members who also serve on a Primary Committee (of </w:t>
      </w:r>
      <w:r w:rsidR="00C83D62" w:rsidRPr="002C0C08">
        <w:rPr>
          <w:sz w:val="20"/>
          <w:szCs w:val="20"/>
        </w:rPr>
        <w:t>their</w:t>
      </w:r>
      <w:r w:rsidRPr="002C0C08">
        <w:rPr>
          <w:sz w:val="20"/>
          <w:szCs w:val="20"/>
        </w:rPr>
        <w:t xml:space="preserve"> own department or that of another department) are expected to vote on the candidate as part of the Primary Committee deliberations, where the faculty member’s activities are best known and can best be evaluated.</w:t>
      </w:r>
    </w:p>
    <w:p w14:paraId="5A448E3B" w14:textId="77777777" w:rsidR="00540549" w:rsidRPr="002C0C08" w:rsidRDefault="00540549" w:rsidP="00426FA2">
      <w:pPr>
        <w:rPr>
          <w:sz w:val="20"/>
          <w:szCs w:val="20"/>
        </w:rPr>
      </w:pPr>
    </w:p>
    <w:p w14:paraId="37193E38" w14:textId="27EFA885" w:rsidR="00EF1BE8" w:rsidRPr="002C0C08" w:rsidRDefault="00342AB6" w:rsidP="008C21A3">
      <w:pPr>
        <w:pStyle w:val="ListParagraph"/>
        <w:numPr>
          <w:ilvl w:val="0"/>
          <w:numId w:val="8"/>
        </w:numPr>
        <w:tabs>
          <w:tab w:val="left" w:pos="1329"/>
        </w:tabs>
        <w:ind w:right="245"/>
        <w:jc w:val="both"/>
        <w:rPr>
          <w:sz w:val="20"/>
          <w:szCs w:val="20"/>
        </w:rPr>
      </w:pPr>
      <w:r w:rsidRPr="002C0C08">
        <w:rPr>
          <w:sz w:val="20"/>
          <w:szCs w:val="20"/>
        </w:rPr>
        <w:t>The Committee must provide the Dean with a written summary of its actions, including the vote count for each candidate considered and a summary of the committee discussion of each candidate, as soon as possible after the committee deliberations. In its written summary the committee must fully describe the discussion associated with a negative or split decision – a commentary that is too sparse may raise doubts in the minds of those at subsequent levels of review as to the rationale behind the decision. Reports will be written and distributed by a designated Unit Committee member for each candidate soon after the conclusion of the committee meeting. These reports will be reviewed by the committee members and feedback given to those designees to ensure a consensus can be reached on the report. As required by campus policy, all Unit Committee members must agree on the contents of these reports: there are no minority reports. The Chair of the Unit Committee will be entrusted with the authority to sign these reports on behalf of all the members of the committee.</w:t>
      </w:r>
    </w:p>
    <w:p w14:paraId="5E74B4BF" w14:textId="77777777" w:rsidR="00EF1BE8" w:rsidRPr="002C0C08" w:rsidRDefault="00EF1BE8" w:rsidP="008C21A3">
      <w:pPr>
        <w:pStyle w:val="BodyText"/>
        <w:rPr>
          <w:sz w:val="20"/>
          <w:szCs w:val="20"/>
        </w:rPr>
      </w:pPr>
    </w:p>
    <w:p w14:paraId="3E46EB63" w14:textId="1AAE4D74" w:rsidR="00EF1BE8" w:rsidRPr="002C0C08" w:rsidRDefault="00342AB6" w:rsidP="008C21A3">
      <w:pPr>
        <w:pStyle w:val="ListParagraph"/>
        <w:numPr>
          <w:ilvl w:val="0"/>
          <w:numId w:val="8"/>
        </w:numPr>
        <w:tabs>
          <w:tab w:val="left" w:pos="1329"/>
        </w:tabs>
        <w:ind w:right="243"/>
        <w:jc w:val="both"/>
        <w:rPr>
          <w:sz w:val="20"/>
          <w:szCs w:val="20"/>
        </w:rPr>
      </w:pPr>
      <w:r w:rsidRPr="002C0C08">
        <w:rPr>
          <w:sz w:val="20"/>
          <w:szCs w:val="20"/>
        </w:rPr>
        <w:t xml:space="preserve">The Chair of the Unit Committee (or designee) will provide each candidate with copies of the Unit Committee report. For a candidate who is not recommended, it is the obligation of the Unit Committee Chair and the department representatives to the Unit Committee to discuss with the candidate the reasons for the negative recommendation. If the Unit Committee’s majority vote is the first negative recommendation in a tenure case, it is the obligation of the Unit Committee Chair to inform the candidate about their right to a formal request for reconsideration as specified in the Campus Guidelines. Any resulting formal request for reconsideration must be made by the candidate within two weeks of being notified of the negative vote, consistent with </w:t>
      </w:r>
      <w:r w:rsidR="00B8385B" w:rsidRPr="002C0C08">
        <w:rPr>
          <w:sz w:val="20"/>
          <w:szCs w:val="20"/>
        </w:rPr>
        <w:t>Indiana University Indianapolis</w:t>
      </w:r>
      <w:r w:rsidRPr="002C0C08">
        <w:rPr>
          <w:sz w:val="20"/>
          <w:szCs w:val="20"/>
        </w:rPr>
        <w:t xml:space="preserve"> campus guidelines, and the reconsideration process must be completed before the next level of review.</w:t>
      </w:r>
    </w:p>
    <w:p w14:paraId="41C1134D" w14:textId="77777777" w:rsidR="00EF1BE8" w:rsidRPr="002C0C08" w:rsidRDefault="00EF1BE8" w:rsidP="008C21A3">
      <w:pPr>
        <w:pStyle w:val="BodyText"/>
        <w:rPr>
          <w:sz w:val="20"/>
          <w:szCs w:val="20"/>
        </w:rPr>
      </w:pPr>
    </w:p>
    <w:p w14:paraId="270E3EC0" w14:textId="23A4A265" w:rsidR="00EF1BE8" w:rsidRPr="002C0C08" w:rsidRDefault="00342AB6" w:rsidP="008C21A3">
      <w:pPr>
        <w:pStyle w:val="ListParagraph"/>
        <w:numPr>
          <w:ilvl w:val="0"/>
          <w:numId w:val="8"/>
        </w:numPr>
        <w:tabs>
          <w:tab w:val="left" w:pos="1329"/>
        </w:tabs>
        <w:ind w:right="247" w:hanging="361"/>
        <w:jc w:val="both"/>
        <w:rPr>
          <w:sz w:val="20"/>
          <w:szCs w:val="20"/>
        </w:rPr>
      </w:pPr>
      <w:r w:rsidRPr="002C0C08">
        <w:rPr>
          <w:sz w:val="20"/>
          <w:szCs w:val="20"/>
        </w:rPr>
        <w:t xml:space="preserve">After receiving the Unit Committee report, the Dean will provide </w:t>
      </w:r>
      <w:r w:rsidR="00C83D62" w:rsidRPr="002C0C08">
        <w:rPr>
          <w:sz w:val="20"/>
          <w:szCs w:val="20"/>
        </w:rPr>
        <w:t>their</w:t>
      </w:r>
      <w:r w:rsidRPr="002C0C08">
        <w:rPr>
          <w:sz w:val="20"/>
          <w:szCs w:val="20"/>
        </w:rPr>
        <w:t xml:space="preserve"> letter to each candidate. In the case of a negative recommendation by the Dean, </w:t>
      </w:r>
      <w:r w:rsidR="00C83D62" w:rsidRPr="002C0C08">
        <w:rPr>
          <w:sz w:val="20"/>
          <w:szCs w:val="20"/>
        </w:rPr>
        <w:t>they are</w:t>
      </w:r>
      <w:r w:rsidRPr="002C0C08">
        <w:rPr>
          <w:sz w:val="20"/>
          <w:szCs w:val="20"/>
        </w:rPr>
        <w:t xml:space="preserve"> obligated to discuss the reasons for the negative vote with the candidate. If the Dean’s vote is the first negative recommendation in a tenure case, it is the obligation of the Dean to inform the candidate about their right to a formal request for reconsideration.</w:t>
      </w:r>
    </w:p>
    <w:p w14:paraId="688A140E" w14:textId="77777777" w:rsidR="00EF1BE8" w:rsidRPr="002C0C08" w:rsidRDefault="00EF1BE8" w:rsidP="00540549">
      <w:pPr>
        <w:pStyle w:val="BodyText"/>
        <w:rPr>
          <w:sz w:val="20"/>
          <w:szCs w:val="20"/>
        </w:rPr>
      </w:pPr>
    </w:p>
    <w:p w14:paraId="143041CB" w14:textId="7D3B62FF" w:rsidR="00EF1BE8" w:rsidRPr="002C0C08" w:rsidRDefault="00342AB6" w:rsidP="008C21A3">
      <w:pPr>
        <w:pStyle w:val="ListParagraph"/>
        <w:numPr>
          <w:ilvl w:val="0"/>
          <w:numId w:val="8"/>
        </w:numPr>
        <w:tabs>
          <w:tab w:val="left" w:pos="1329"/>
        </w:tabs>
        <w:ind w:right="246"/>
        <w:jc w:val="both"/>
        <w:rPr>
          <w:sz w:val="20"/>
          <w:szCs w:val="20"/>
        </w:rPr>
      </w:pPr>
      <w:r w:rsidRPr="002C0C08">
        <w:rPr>
          <w:sz w:val="20"/>
          <w:szCs w:val="20"/>
        </w:rPr>
        <w:t xml:space="preserve">Upon completion of the School-level review, candidate’s dossier will be forwarded to the Campus via the </w:t>
      </w:r>
      <w:r w:rsidR="00F33BE5" w:rsidRPr="002C0C08">
        <w:rPr>
          <w:sz w:val="20"/>
          <w:szCs w:val="20"/>
        </w:rPr>
        <w:t xml:space="preserve">appropriate online </w:t>
      </w:r>
      <w:r w:rsidRPr="002C0C08">
        <w:rPr>
          <w:sz w:val="20"/>
          <w:szCs w:val="20"/>
        </w:rPr>
        <w:t>system for review by the Campus Promotion and Tenure Committee. Typically, the deadline for forwarding the dossier to Campus is the last Friday of October. Any case for which there is a reconsideration process that may prevent completion of the process by the last Friday of October, upon notification of the Office of Academic Affairs the campus will waive this deadline and permit submission of the dossier later in November.</w:t>
      </w:r>
    </w:p>
    <w:p w14:paraId="1A58C105" w14:textId="77777777" w:rsidR="00EF1BE8" w:rsidRPr="002C0C08" w:rsidRDefault="00EF1BE8" w:rsidP="008C21A3">
      <w:pPr>
        <w:pStyle w:val="BodyText"/>
        <w:rPr>
          <w:sz w:val="20"/>
          <w:szCs w:val="20"/>
        </w:rPr>
      </w:pPr>
    </w:p>
    <w:p w14:paraId="59F1A01A" w14:textId="77777777" w:rsidR="00EF1BE8" w:rsidRPr="002C0C08" w:rsidRDefault="00342AB6" w:rsidP="00540549">
      <w:pPr>
        <w:pStyle w:val="Heading3"/>
        <w:numPr>
          <w:ilvl w:val="1"/>
          <w:numId w:val="11"/>
        </w:numPr>
        <w:tabs>
          <w:tab w:val="left" w:pos="468"/>
        </w:tabs>
        <w:ind w:left="467" w:hanging="349"/>
        <w:rPr>
          <w:sz w:val="20"/>
          <w:szCs w:val="20"/>
        </w:rPr>
      </w:pPr>
      <w:bookmarkStart w:id="9" w:name="4._Third_Year_Review_Procedures"/>
      <w:bookmarkEnd w:id="9"/>
      <w:r w:rsidRPr="002C0C08">
        <w:rPr>
          <w:sz w:val="20"/>
          <w:szCs w:val="20"/>
        </w:rPr>
        <w:t>Third Year Review Procedures</w:t>
      </w:r>
    </w:p>
    <w:p w14:paraId="2597E3A2" w14:textId="77777777" w:rsidR="00EF1BE8" w:rsidRPr="002C0C08" w:rsidRDefault="00EF1BE8" w:rsidP="00426FA2">
      <w:pPr>
        <w:pStyle w:val="BodyText"/>
        <w:rPr>
          <w:b/>
          <w:sz w:val="20"/>
          <w:szCs w:val="20"/>
        </w:rPr>
      </w:pPr>
    </w:p>
    <w:p w14:paraId="6D0ACBC9" w14:textId="5938D14B" w:rsidR="00EF1BE8" w:rsidRPr="002C0C08" w:rsidRDefault="00342AB6" w:rsidP="008E3E71">
      <w:pPr>
        <w:pStyle w:val="BodyText"/>
        <w:ind w:left="248" w:right="310"/>
        <w:jc w:val="both"/>
        <w:rPr>
          <w:sz w:val="20"/>
          <w:szCs w:val="20"/>
        </w:rPr>
      </w:pPr>
      <w:r w:rsidRPr="002C0C08">
        <w:rPr>
          <w:sz w:val="20"/>
          <w:szCs w:val="20"/>
        </w:rPr>
        <w:t xml:space="preserve">Third Year Reviews are an important step in the progression of faculty through the ranks, with reviews both by the Primary Committee and by the Unit Committee. An area of excellence or a case for </w:t>
      </w:r>
      <w:r w:rsidR="00CC65F4" w:rsidRPr="002C0C08">
        <w:rPr>
          <w:sz w:val="20"/>
          <w:szCs w:val="20"/>
        </w:rPr>
        <w:t>the</w:t>
      </w:r>
      <w:r w:rsidR="00CF4E61" w:rsidRPr="002C0C08">
        <w:rPr>
          <w:rStyle w:val="Strong"/>
          <w:b w:val="0"/>
          <w:bCs w:val="0"/>
          <w:color w:val="000000"/>
          <w:sz w:val="20"/>
          <w:szCs w:val="20"/>
        </w:rPr>
        <w:t xml:space="preserve"> Balanced-Integrative Case</w:t>
      </w:r>
      <w:r w:rsidR="00CC65F4" w:rsidRPr="002C0C08">
        <w:rPr>
          <w:sz w:val="20"/>
          <w:szCs w:val="20"/>
        </w:rPr>
        <w:t xml:space="preserve"> </w:t>
      </w:r>
      <w:r w:rsidRPr="002C0C08">
        <w:rPr>
          <w:sz w:val="20"/>
          <w:szCs w:val="20"/>
        </w:rPr>
        <w:t xml:space="preserve">must be declared by the candidate at this time. Documentation of the candidate’s </w:t>
      </w:r>
      <w:r w:rsidRPr="002C0C08">
        <w:rPr>
          <w:sz w:val="20"/>
          <w:szCs w:val="20"/>
        </w:rPr>
        <w:lastRenderedPageBreak/>
        <w:t xml:space="preserve">performance in teaching, research, and service, along with a candidate’s statement and CV, should be provided by the candidate following the </w:t>
      </w:r>
      <w:r w:rsidR="00F33BE5" w:rsidRPr="002C0C08">
        <w:rPr>
          <w:sz w:val="20"/>
          <w:szCs w:val="20"/>
        </w:rPr>
        <w:t xml:space="preserve">appropriate online </w:t>
      </w:r>
      <w:r w:rsidRPr="002C0C08">
        <w:rPr>
          <w:sz w:val="20"/>
          <w:szCs w:val="20"/>
        </w:rPr>
        <w:t>format. It is the first significant involvement of the Unit Committee with faculty in a tenure-track rank and serves as an outside review of reports provided by the Primary Committee. While there is no official action required on the Third Year Review, there is an opportunity for the Unit Committee to provide written performance assessments to the candidate and the Primary Committee. As such,</w:t>
      </w:r>
      <w:r w:rsidR="00540549" w:rsidRPr="002C0C08">
        <w:rPr>
          <w:sz w:val="20"/>
          <w:szCs w:val="20"/>
        </w:rPr>
        <w:t xml:space="preserve"> </w:t>
      </w:r>
      <w:r w:rsidRPr="002C0C08">
        <w:rPr>
          <w:sz w:val="20"/>
          <w:szCs w:val="20"/>
        </w:rPr>
        <w:t>the Unit Committee will prepare a report on the candidate’s dossier.</w:t>
      </w:r>
    </w:p>
    <w:p w14:paraId="5238C3D9" w14:textId="4F859229" w:rsidR="00EF1BE8" w:rsidRPr="002C0C08" w:rsidRDefault="00540549" w:rsidP="006B3811">
      <w:pPr>
        <w:ind w:left="246" w:right="299" w:firstLine="2"/>
        <w:jc w:val="both"/>
        <w:rPr>
          <w:sz w:val="20"/>
          <w:szCs w:val="20"/>
        </w:rPr>
      </w:pPr>
      <w:r w:rsidRPr="002C0C08">
        <w:rPr>
          <w:sz w:val="20"/>
          <w:szCs w:val="20"/>
        </w:rPr>
        <w:br/>
      </w:r>
      <w:r w:rsidR="00342AB6" w:rsidRPr="002C0C08">
        <w:rPr>
          <w:sz w:val="20"/>
          <w:szCs w:val="20"/>
        </w:rPr>
        <w:t xml:space="preserve">All candidates for Third Year Reviews will be considered using the guidelines set forth above in </w:t>
      </w:r>
      <w:r w:rsidR="00342AB6" w:rsidRPr="002C0C08">
        <w:rPr>
          <w:i/>
          <w:sz w:val="20"/>
          <w:szCs w:val="20"/>
        </w:rPr>
        <w:t xml:space="preserve">Procedures for Review of Promotion and Tenure Candidates, </w:t>
      </w:r>
      <w:r w:rsidR="00342AB6" w:rsidRPr="002C0C08">
        <w:rPr>
          <w:sz w:val="20"/>
          <w:szCs w:val="20"/>
        </w:rPr>
        <w:t xml:space="preserve">items a – d, f, g, i, j, and m – o, </w:t>
      </w:r>
      <w:r w:rsidR="00342AB6" w:rsidRPr="002C0C08">
        <w:rPr>
          <w:i/>
          <w:sz w:val="20"/>
          <w:szCs w:val="20"/>
        </w:rPr>
        <w:t>as appropriate for a Third Year Review</w:t>
      </w:r>
      <w:r w:rsidR="00342AB6" w:rsidRPr="002C0C08">
        <w:rPr>
          <w:sz w:val="20"/>
          <w:szCs w:val="20"/>
        </w:rPr>
        <w:t>. The report of the Unit Committee will be through consensus and address issues in the Primary Committee report and provide formative comments helpful to the Primary Committee, Department Chair, and the candidate.</w:t>
      </w:r>
    </w:p>
    <w:p w14:paraId="66BE2FF9" w14:textId="4ECA57AD" w:rsidR="00EF1BE8" w:rsidRPr="002C0C08" w:rsidRDefault="00540549" w:rsidP="006B3811">
      <w:pPr>
        <w:pStyle w:val="BodyText"/>
        <w:ind w:left="248" w:right="295"/>
        <w:jc w:val="both"/>
        <w:rPr>
          <w:sz w:val="20"/>
          <w:szCs w:val="20"/>
        </w:rPr>
      </w:pPr>
      <w:r w:rsidRPr="002C0C08">
        <w:rPr>
          <w:sz w:val="20"/>
          <w:szCs w:val="20"/>
        </w:rPr>
        <w:br/>
      </w:r>
      <w:r w:rsidR="00342AB6" w:rsidRPr="002C0C08">
        <w:rPr>
          <w:sz w:val="20"/>
          <w:szCs w:val="20"/>
        </w:rPr>
        <w:t>If the declared area of excellence is different than appears in the candidate’s offer letter, or if a change is indicated as a result of the Third Year Review process, an additional formative review by the Primary and/or Unit Committee is recommended during the fourth year.</w:t>
      </w:r>
    </w:p>
    <w:p w14:paraId="294362FD" w14:textId="77777777" w:rsidR="00EF1BE8" w:rsidRPr="002C0C08" w:rsidRDefault="00EF1BE8" w:rsidP="00540549">
      <w:pPr>
        <w:pStyle w:val="BodyText"/>
        <w:rPr>
          <w:sz w:val="20"/>
          <w:szCs w:val="20"/>
        </w:rPr>
      </w:pPr>
    </w:p>
    <w:p w14:paraId="3CF66414" w14:textId="77777777" w:rsidR="00EF1BE8" w:rsidRPr="002C0C08" w:rsidRDefault="00342AB6" w:rsidP="00540549">
      <w:pPr>
        <w:pStyle w:val="Heading1"/>
        <w:numPr>
          <w:ilvl w:val="0"/>
          <w:numId w:val="11"/>
        </w:numPr>
        <w:tabs>
          <w:tab w:val="left" w:pos="877"/>
          <w:tab w:val="left" w:pos="878"/>
        </w:tabs>
        <w:ind w:hanging="759"/>
        <w:rPr>
          <w:sz w:val="20"/>
          <w:szCs w:val="20"/>
        </w:rPr>
      </w:pPr>
      <w:bookmarkStart w:id="10" w:name="C._CALENDAR_OF_EVENTS_FOR_PERSONNEL_ACTI"/>
      <w:bookmarkEnd w:id="10"/>
      <w:r w:rsidRPr="002C0C08">
        <w:rPr>
          <w:sz w:val="20"/>
          <w:szCs w:val="20"/>
        </w:rPr>
        <w:t>CALENDAR OF EVENTS FOR PERSONNEL ACTION</w:t>
      </w:r>
    </w:p>
    <w:p w14:paraId="536A1859" w14:textId="77777777" w:rsidR="00EF1BE8" w:rsidRPr="002C0C08" w:rsidRDefault="00EF1BE8" w:rsidP="006B3811">
      <w:pPr>
        <w:pStyle w:val="BodyText"/>
        <w:rPr>
          <w:b/>
          <w:sz w:val="20"/>
          <w:szCs w:val="20"/>
        </w:rPr>
      </w:pPr>
    </w:p>
    <w:p w14:paraId="2834FA4E" w14:textId="341C88D9" w:rsidR="00EF1BE8" w:rsidRPr="002C0C08" w:rsidRDefault="00342AB6" w:rsidP="006B3811">
      <w:pPr>
        <w:pStyle w:val="BodyText"/>
        <w:ind w:left="248" w:right="365"/>
        <w:jc w:val="both"/>
        <w:rPr>
          <w:sz w:val="20"/>
          <w:szCs w:val="20"/>
        </w:rPr>
      </w:pPr>
      <w:r w:rsidRPr="002C0C08">
        <w:rPr>
          <w:sz w:val="20"/>
          <w:szCs w:val="20"/>
        </w:rPr>
        <w:t xml:space="preserve">A </w:t>
      </w:r>
      <w:r w:rsidRPr="002C0C08">
        <w:rPr>
          <w:i/>
          <w:sz w:val="20"/>
          <w:szCs w:val="20"/>
        </w:rPr>
        <w:t xml:space="preserve">Calendar of Events for Personnel Action </w:t>
      </w:r>
      <w:r w:rsidRPr="002C0C08">
        <w:rPr>
          <w:sz w:val="20"/>
          <w:szCs w:val="20"/>
        </w:rPr>
        <w:t>for the academic year is distributed to the School around July 1 by the Office of the Dean, School of Science. While specific dates on this Calendar may vary from year to year, the promotion and tenure process will begin no later than September 1 of each academic year with the formation of the Unit Committee and be completed aroun</w:t>
      </w:r>
      <w:r w:rsidR="006F3360" w:rsidRPr="002C0C08">
        <w:rPr>
          <w:sz w:val="20"/>
          <w:szCs w:val="20"/>
        </w:rPr>
        <w:t>d</w:t>
      </w:r>
      <w:r w:rsidRPr="002C0C08">
        <w:rPr>
          <w:sz w:val="20"/>
          <w:szCs w:val="20"/>
        </w:rPr>
        <w:t xml:space="preserve"> April 30 when the President of Indiana University officially notifies those faculty who are promoted or receive tenure as of the beginning of the next academic year.</w:t>
      </w:r>
    </w:p>
    <w:p w14:paraId="1373525D" w14:textId="77777777" w:rsidR="00EF1BE8" w:rsidRPr="002C0C08" w:rsidRDefault="00EF1BE8" w:rsidP="006B3811">
      <w:pPr>
        <w:pStyle w:val="BodyText"/>
        <w:rPr>
          <w:sz w:val="20"/>
          <w:szCs w:val="20"/>
        </w:rPr>
      </w:pPr>
    </w:p>
    <w:p w14:paraId="4A2B6CF6" w14:textId="77777777" w:rsidR="00EF1BE8" w:rsidRPr="002C0C08" w:rsidRDefault="00342AB6" w:rsidP="00540549">
      <w:pPr>
        <w:pStyle w:val="Heading1"/>
        <w:numPr>
          <w:ilvl w:val="0"/>
          <w:numId w:val="11"/>
        </w:numPr>
        <w:tabs>
          <w:tab w:val="left" w:pos="968"/>
          <w:tab w:val="left" w:pos="969"/>
        </w:tabs>
        <w:ind w:left="968" w:hanging="850"/>
        <w:rPr>
          <w:sz w:val="20"/>
          <w:szCs w:val="20"/>
        </w:rPr>
      </w:pPr>
      <w:bookmarkStart w:id="11" w:name="D._SOME_GENERAL_CONSIDERATIONS"/>
      <w:bookmarkEnd w:id="11"/>
      <w:r w:rsidRPr="002C0C08">
        <w:rPr>
          <w:sz w:val="20"/>
          <w:szCs w:val="20"/>
        </w:rPr>
        <w:t>SOME GENERAL CONSIDERATIONS</w:t>
      </w:r>
    </w:p>
    <w:p w14:paraId="7EFFF587" w14:textId="77777777" w:rsidR="00EF1BE8" w:rsidRPr="002C0C08" w:rsidRDefault="00EF1BE8" w:rsidP="006B3811">
      <w:pPr>
        <w:pStyle w:val="BodyText"/>
        <w:rPr>
          <w:b/>
          <w:sz w:val="20"/>
          <w:szCs w:val="20"/>
        </w:rPr>
      </w:pPr>
    </w:p>
    <w:p w14:paraId="3C7B25EB" w14:textId="5CF1F8EA" w:rsidR="00EF1BE8" w:rsidRPr="002C0C08" w:rsidRDefault="00342AB6" w:rsidP="006B3811">
      <w:pPr>
        <w:pStyle w:val="BodyText"/>
        <w:ind w:left="248" w:right="312"/>
        <w:jc w:val="both"/>
        <w:rPr>
          <w:sz w:val="20"/>
          <w:szCs w:val="20"/>
        </w:rPr>
      </w:pPr>
      <w:r w:rsidRPr="002C0C08">
        <w:rPr>
          <w:sz w:val="20"/>
          <w:szCs w:val="20"/>
        </w:rPr>
        <w:t xml:space="preserve">Promotion and tenure decisions are among the most important decisions made at </w:t>
      </w:r>
      <w:r w:rsidR="00B8385B" w:rsidRPr="002C0C08">
        <w:rPr>
          <w:sz w:val="20"/>
          <w:szCs w:val="20"/>
        </w:rPr>
        <w:t>Indiana University Indianapolis</w:t>
      </w:r>
      <w:r w:rsidRPr="002C0C08">
        <w:rPr>
          <w:sz w:val="20"/>
          <w:szCs w:val="20"/>
        </w:rPr>
        <w:t>. The futures of the University, the School of Science, and the individual faculty member are largely determined by these decisions. Accordingly, the value of the candidate’s contribution to the School’s vision of its future direction should be uppermost when making recommendations for promotion and tenure. Faculty whose objectives are consistent with the future of the School should be retained and rewarded.</w:t>
      </w:r>
    </w:p>
    <w:p w14:paraId="5B6A752C" w14:textId="77777777" w:rsidR="00EF1BE8" w:rsidRPr="002C0C08" w:rsidRDefault="00EF1BE8" w:rsidP="006B3811">
      <w:pPr>
        <w:pStyle w:val="BodyText"/>
        <w:rPr>
          <w:sz w:val="20"/>
          <w:szCs w:val="20"/>
        </w:rPr>
      </w:pPr>
    </w:p>
    <w:p w14:paraId="49EBB465" w14:textId="77777777" w:rsidR="001910C4" w:rsidRPr="002C0C08" w:rsidRDefault="00342AB6" w:rsidP="001910C4">
      <w:pPr>
        <w:pStyle w:val="BodyText"/>
        <w:ind w:left="248" w:right="339"/>
        <w:jc w:val="both"/>
        <w:rPr>
          <w:sz w:val="20"/>
          <w:szCs w:val="20"/>
        </w:rPr>
      </w:pPr>
      <w:r w:rsidRPr="002C0C08">
        <w:rPr>
          <w:sz w:val="20"/>
          <w:szCs w:val="20"/>
        </w:rPr>
        <w:t>In recommending promotion and tenure, promotion and tenure committees are stating that they want the candidate to spend the rest of their professional career with the School of Science. Such a recommendation is recognition of past achievement and a sign of confidence that the candidate is capable of greater responsibilities and accomplishments. It is important that promotion and tenure be recognized as a selective process and not simply a result of longevity within the School.</w:t>
      </w:r>
    </w:p>
    <w:p w14:paraId="3CEEEB83" w14:textId="77777777" w:rsidR="001910C4" w:rsidRPr="002C0C08" w:rsidRDefault="001910C4" w:rsidP="001910C4">
      <w:pPr>
        <w:pStyle w:val="BodyText"/>
        <w:ind w:left="248" w:right="339"/>
        <w:jc w:val="both"/>
        <w:rPr>
          <w:sz w:val="20"/>
          <w:szCs w:val="20"/>
        </w:rPr>
      </w:pPr>
    </w:p>
    <w:p w14:paraId="23390068" w14:textId="322BE68F" w:rsidR="001910C4" w:rsidRPr="002C0C08" w:rsidRDefault="006F3360" w:rsidP="001910C4">
      <w:pPr>
        <w:pStyle w:val="BodyText"/>
        <w:ind w:left="248" w:right="339"/>
        <w:jc w:val="both"/>
        <w:rPr>
          <w:sz w:val="20"/>
          <w:szCs w:val="20"/>
        </w:rPr>
      </w:pPr>
      <w:r w:rsidRPr="002C0C08">
        <w:rPr>
          <w:rStyle w:val="Strong"/>
          <w:b w:val="0"/>
          <w:bCs w:val="0"/>
          <w:color w:val="000000"/>
          <w:sz w:val="20"/>
          <w:szCs w:val="20"/>
        </w:rPr>
        <w:t>Indiana University values inclusivity, intellectual diversity, and equity to foster an environment that encourages participation from students of all backgrounds.</w:t>
      </w:r>
      <w:r w:rsidRPr="002C0C08">
        <w:rPr>
          <w:color w:val="000000"/>
          <w:sz w:val="20"/>
          <w:szCs w:val="20"/>
        </w:rPr>
        <w:t xml:space="preserve"> Candidates for promotion and tenure may choose to include evidence of their contributions to these institutional values in their dossier. This evidence can be documented in one or more sections on</w:t>
      </w:r>
      <w:r w:rsidRPr="002C0C08">
        <w:rPr>
          <w:rStyle w:val="apple-converted-space"/>
          <w:color w:val="000000"/>
          <w:sz w:val="20"/>
          <w:szCs w:val="20"/>
        </w:rPr>
        <w:t> </w:t>
      </w:r>
      <w:r w:rsidRPr="002C0C08">
        <w:rPr>
          <w:rStyle w:val="Strong"/>
          <w:b w:val="0"/>
          <w:bCs w:val="0"/>
          <w:color w:val="000000"/>
          <w:sz w:val="20"/>
          <w:szCs w:val="20"/>
        </w:rPr>
        <w:t>Teaching</w:t>
      </w:r>
      <w:r w:rsidRPr="002C0C08">
        <w:rPr>
          <w:color w:val="000000"/>
          <w:sz w:val="20"/>
          <w:szCs w:val="20"/>
        </w:rPr>
        <w:t>,</w:t>
      </w:r>
      <w:r w:rsidRPr="002C0C08">
        <w:rPr>
          <w:rStyle w:val="apple-converted-space"/>
          <w:color w:val="000000"/>
          <w:sz w:val="20"/>
          <w:szCs w:val="20"/>
        </w:rPr>
        <w:t> </w:t>
      </w:r>
      <w:r w:rsidRPr="002C0C08">
        <w:rPr>
          <w:rStyle w:val="Strong"/>
          <w:b w:val="0"/>
          <w:bCs w:val="0"/>
          <w:color w:val="000000"/>
          <w:sz w:val="20"/>
          <w:szCs w:val="20"/>
        </w:rPr>
        <w:t>Research</w:t>
      </w:r>
      <w:r w:rsidRPr="002C0C08">
        <w:rPr>
          <w:color w:val="000000"/>
          <w:sz w:val="20"/>
          <w:szCs w:val="20"/>
        </w:rPr>
        <w:t>, or</w:t>
      </w:r>
      <w:r w:rsidRPr="002C0C08">
        <w:rPr>
          <w:rStyle w:val="apple-converted-space"/>
          <w:color w:val="000000"/>
          <w:sz w:val="20"/>
          <w:szCs w:val="20"/>
        </w:rPr>
        <w:t> </w:t>
      </w:r>
      <w:r w:rsidRPr="002C0C08">
        <w:rPr>
          <w:rStyle w:val="Strong"/>
          <w:b w:val="0"/>
          <w:bCs w:val="0"/>
          <w:color w:val="000000"/>
          <w:sz w:val="20"/>
          <w:szCs w:val="20"/>
        </w:rPr>
        <w:t>Service</w:t>
      </w:r>
      <w:r w:rsidRPr="002C0C08">
        <w:rPr>
          <w:color w:val="000000"/>
          <w:sz w:val="20"/>
          <w:szCs w:val="20"/>
        </w:rPr>
        <w:t>, as appropriate and relevant to those areas. Including such evidence is optional, but it allows candidates to highlight their commitment to fostering a</w:t>
      </w:r>
      <w:r w:rsidR="00164280" w:rsidRPr="002C0C08">
        <w:rPr>
          <w:color w:val="000000"/>
          <w:sz w:val="20"/>
          <w:szCs w:val="20"/>
        </w:rPr>
        <w:t xml:space="preserve"> broadly</w:t>
      </w:r>
      <w:r w:rsidRPr="002C0C08">
        <w:rPr>
          <w:color w:val="000000"/>
          <w:sz w:val="20"/>
          <w:szCs w:val="20"/>
        </w:rPr>
        <w:t xml:space="preserve"> inclusive academic environment.</w:t>
      </w:r>
      <w:r w:rsidR="00164280" w:rsidRPr="002C0C08">
        <w:rPr>
          <w:color w:val="000000"/>
          <w:sz w:val="20"/>
          <w:szCs w:val="20"/>
        </w:rPr>
        <w:t xml:space="preserve"> </w:t>
      </w:r>
      <w:r w:rsidRPr="002C0C08">
        <w:rPr>
          <w:color w:val="000000"/>
          <w:sz w:val="20"/>
          <w:szCs w:val="20"/>
        </w:rPr>
        <w:t>This documentation will count either as part of the</w:t>
      </w:r>
      <w:r w:rsidRPr="002C0C08">
        <w:rPr>
          <w:rStyle w:val="apple-converted-space"/>
          <w:color w:val="000000"/>
          <w:sz w:val="20"/>
          <w:szCs w:val="20"/>
        </w:rPr>
        <w:t> </w:t>
      </w:r>
      <w:r w:rsidRPr="002C0C08">
        <w:rPr>
          <w:rStyle w:val="Strong"/>
          <w:color w:val="000000"/>
          <w:sz w:val="20"/>
          <w:szCs w:val="20"/>
        </w:rPr>
        <w:t>5- or 7-page limit</w:t>
      </w:r>
      <w:r w:rsidRPr="002C0C08">
        <w:rPr>
          <w:rStyle w:val="apple-converted-space"/>
          <w:color w:val="000000"/>
          <w:sz w:val="20"/>
          <w:szCs w:val="20"/>
        </w:rPr>
        <w:t> </w:t>
      </w:r>
      <w:r w:rsidRPr="002C0C08">
        <w:rPr>
          <w:color w:val="000000"/>
          <w:sz w:val="20"/>
          <w:szCs w:val="20"/>
        </w:rPr>
        <w:t>of the candidate statement, or as part of the</w:t>
      </w:r>
      <w:r w:rsidRPr="002C0C08">
        <w:rPr>
          <w:rStyle w:val="apple-converted-space"/>
          <w:color w:val="000000"/>
          <w:sz w:val="20"/>
          <w:szCs w:val="20"/>
        </w:rPr>
        <w:t> </w:t>
      </w:r>
      <w:r w:rsidRPr="002C0C08">
        <w:rPr>
          <w:rStyle w:val="Strong"/>
          <w:color w:val="000000"/>
          <w:sz w:val="20"/>
          <w:szCs w:val="20"/>
        </w:rPr>
        <w:t>overall 50-page limit</w:t>
      </w:r>
      <w:r w:rsidRPr="002C0C08">
        <w:rPr>
          <w:rStyle w:val="apple-converted-space"/>
          <w:color w:val="000000"/>
          <w:sz w:val="20"/>
          <w:szCs w:val="20"/>
        </w:rPr>
        <w:t> </w:t>
      </w:r>
      <w:r w:rsidRPr="002C0C08">
        <w:rPr>
          <w:color w:val="000000"/>
          <w:sz w:val="20"/>
          <w:szCs w:val="20"/>
        </w:rPr>
        <w:t>of the candidate’s portion of the dossier, depending on where it is placed. Candidates' contributions to these values will be viewed equally, regardless of their placement in the dossier. It is important to note that the campus will</w:t>
      </w:r>
      <w:r w:rsidRPr="002C0C08">
        <w:rPr>
          <w:rStyle w:val="apple-converted-space"/>
          <w:color w:val="000000"/>
          <w:sz w:val="20"/>
          <w:szCs w:val="20"/>
        </w:rPr>
        <w:t> </w:t>
      </w:r>
      <w:r w:rsidRPr="002C0C08">
        <w:rPr>
          <w:rStyle w:val="Strong"/>
          <w:color w:val="000000"/>
          <w:sz w:val="20"/>
          <w:szCs w:val="20"/>
        </w:rPr>
        <w:t>not</w:t>
      </w:r>
      <w:r w:rsidR="00164280" w:rsidRPr="002C0C08">
        <w:rPr>
          <w:rStyle w:val="Strong"/>
          <w:color w:val="000000"/>
          <w:sz w:val="20"/>
          <w:szCs w:val="20"/>
        </w:rPr>
        <w:t xml:space="preserve"> </w:t>
      </w:r>
      <w:r w:rsidRPr="002C0C08">
        <w:rPr>
          <w:color w:val="000000"/>
          <w:sz w:val="20"/>
          <w:szCs w:val="20"/>
        </w:rPr>
        <w:t>award promotion and tenure based on a candidate's viewpoints, but rather on the</w:t>
      </w:r>
      <w:r w:rsidRPr="002C0C08">
        <w:rPr>
          <w:rStyle w:val="apple-converted-space"/>
          <w:color w:val="000000"/>
          <w:sz w:val="20"/>
          <w:szCs w:val="20"/>
        </w:rPr>
        <w:t> </w:t>
      </w:r>
      <w:r w:rsidRPr="002C0C08">
        <w:rPr>
          <w:rStyle w:val="Strong"/>
          <w:color w:val="000000"/>
          <w:sz w:val="20"/>
          <w:szCs w:val="20"/>
        </w:rPr>
        <w:t>scholarly outcomes</w:t>
      </w:r>
      <w:r w:rsidRPr="002C0C08">
        <w:rPr>
          <w:rStyle w:val="apple-converted-space"/>
          <w:color w:val="000000"/>
          <w:sz w:val="20"/>
          <w:szCs w:val="20"/>
        </w:rPr>
        <w:t> </w:t>
      </w:r>
      <w:r w:rsidRPr="002C0C08">
        <w:rPr>
          <w:color w:val="000000"/>
          <w:sz w:val="20"/>
          <w:szCs w:val="20"/>
        </w:rPr>
        <w:t>of their work</w:t>
      </w:r>
      <w:r w:rsidR="001910C4" w:rsidRPr="002C0C08">
        <w:rPr>
          <w:color w:val="000000"/>
          <w:sz w:val="20"/>
          <w:szCs w:val="20"/>
        </w:rPr>
        <w:t>.</w:t>
      </w:r>
    </w:p>
    <w:p w14:paraId="641998F7" w14:textId="77777777" w:rsidR="001910C4" w:rsidRPr="002C0C08" w:rsidRDefault="001910C4" w:rsidP="001910C4">
      <w:pPr>
        <w:pStyle w:val="BodyText"/>
        <w:ind w:left="248" w:right="339"/>
        <w:jc w:val="both"/>
        <w:rPr>
          <w:sz w:val="20"/>
          <w:szCs w:val="20"/>
        </w:rPr>
      </w:pPr>
    </w:p>
    <w:p w14:paraId="7189F23E" w14:textId="77777777" w:rsidR="001910C4" w:rsidRPr="002C0C08" w:rsidRDefault="00342AB6" w:rsidP="001910C4">
      <w:pPr>
        <w:pStyle w:val="BodyText"/>
        <w:ind w:left="248" w:right="339"/>
        <w:jc w:val="both"/>
        <w:rPr>
          <w:sz w:val="20"/>
          <w:szCs w:val="20"/>
        </w:rPr>
      </w:pPr>
      <w:r w:rsidRPr="002C0C08">
        <w:rPr>
          <w:sz w:val="20"/>
          <w:szCs w:val="20"/>
        </w:rPr>
        <w:t>Everyone recommended for promotion and tenure must satisfy certain minimum requirements. If an individual can establish all necessary credentials in a short period of time, then they should be eligible for early nomination for promotion and tenure. On the other hand, early recommendation for promotion and tenure, particularly before the sixth year, must involve exemplary cases, and it must be clearly demonstrated that the faculty member has in fact clearly satisfied all necessary requirements for teaching, research, and service. Thus</w:t>
      </w:r>
      <w:r w:rsidR="003359AD" w:rsidRPr="002C0C08">
        <w:rPr>
          <w:sz w:val="20"/>
          <w:szCs w:val="20"/>
        </w:rPr>
        <w:t>,</w:t>
      </w:r>
      <w:r w:rsidRPr="002C0C08">
        <w:rPr>
          <w:sz w:val="20"/>
          <w:szCs w:val="20"/>
        </w:rPr>
        <w:t xml:space="preserve"> an individual recommended for early promotion and/or tenure must have a strong, clearly recognized and documented case. However, in all cases, the candidate’s cumulative (or as specified in the </w:t>
      </w:r>
      <w:r w:rsidRPr="002C0C08">
        <w:rPr>
          <w:sz w:val="20"/>
          <w:szCs w:val="20"/>
        </w:rPr>
        <w:lastRenderedPageBreak/>
        <w:t xml:space="preserve">original appointment of the candidate at </w:t>
      </w:r>
      <w:r w:rsidR="00B8385B" w:rsidRPr="002C0C08">
        <w:rPr>
          <w:sz w:val="20"/>
          <w:szCs w:val="20"/>
        </w:rPr>
        <w:t>Indiana University Indianapolis</w:t>
      </w:r>
      <w:r w:rsidRPr="002C0C08">
        <w:rPr>
          <w:sz w:val="20"/>
          <w:szCs w:val="20"/>
        </w:rPr>
        <w:t xml:space="preserve">) body of work in rank will be considered for promotion and/or tenure, whether accomplished at </w:t>
      </w:r>
      <w:r w:rsidR="00B8385B" w:rsidRPr="002C0C08">
        <w:rPr>
          <w:sz w:val="20"/>
          <w:szCs w:val="20"/>
        </w:rPr>
        <w:t xml:space="preserve">Indiana University Indianapolis </w:t>
      </w:r>
      <w:r w:rsidRPr="002C0C08">
        <w:rPr>
          <w:sz w:val="20"/>
          <w:szCs w:val="20"/>
        </w:rPr>
        <w:t>or at a previous institution.</w:t>
      </w:r>
    </w:p>
    <w:p w14:paraId="4C30D593" w14:textId="77777777" w:rsidR="001910C4" w:rsidRPr="002C0C08" w:rsidRDefault="001910C4" w:rsidP="001910C4">
      <w:pPr>
        <w:pStyle w:val="BodyText"/>
        <w:ind w:left="248" w:right="339"/>
        <w:jc w:val="both"/>
        <w:rPr>
          <w:sz w:val="20"/>
          <w:szCs w:val="20"/>
        </w:rPr>
      </w:pPr>
    </w:p>
    <w:p w14:paraId="364FD204" w14:textId="7CAD2F54" w:rsidR="001910C4" w:rsidRPr="002C0C08" w:rsidRDefault="00342AB6" w:rsidP="001910C4">
      <w:pPr>
        <w:pStyle w:val="BodyText"/>
        <w:ind w:left="248" w:right="339"/>
        <w:jc w:val="both"/>
        <w:rPr>
          <w:sz w:val="20"/>
          <w:szCs w:val="20"/>
        </w:rPr>
      </w:pPr>
      <w:r w:rsidRPr="002C0C08">
        <w:rPr>
          <w:sz w:val="20"/>
          <w:szCs w:val="20"/>
        </w:rPr>
        <w:t xml:space="preserve">A tenure decision is normally made on a probationary faculty member in the sixth year of their appointment. To be awarded tenure prior to the sixth year of appointment, the Dean of Faculties must be convinced that the faculty member’s case is extraordinary; only after this has been done may the Unit Committee consider the case. A request for consideration for earlier-than-normal tenure is to be forwarded by the Dean of the School of Science to the Chief Academic Officer for approval. Prior to initiating such a request the faculty member must be advised that they will be considered for tenure only once. Specifically, </w:t>
      </w:r>
      <w:r w:rsidR="002D762A">
        <w:rPr>
          <w:i/>
          <w:sz w:val="20"/>
          <w:szCs w:val="20"/>
        </w:rPr>
        <w:t xml:space="preserve">“A </w:t>
      </w:r>
      <w:r w:rsidRPr="002C0C08">
        <w:rPr>
          <w:i/>
          <w:sz w:val="20"/>
          <w:szCs w:val="20"/>
        </w:rPr>
        <w:t xml:space="preserve"> faculty member who applies for early tenure should be forewarned that a candidate for tenure should expect only one full review.”</w:t>
      </w:r>
      <w:r w:rsidR="00BD35E6" w:rsidRPr="002C0C08">
        <w:rPr>
          <w:i/>
          <w:sz w:val="20"/>
          <w:szCs w:val="20"/>
          <w:vertAlign w:val="superscript"/>
        </w:rPr>
        <w:t>4</w:t>
      </w:r>
    </w:p>
    <w:p w14:paraId="22A5C0B2" w14:textId="77777777" w:rsidR="001910C4" w:rsidRPr="002C0C08" w:rsidRDefault="001910C4" w:rsidP="001910C4">
      <w:pPr>
        <w:pStyle w:val="BodyText"/>
        <w:ind w:left="248" w:right="339"/>
        <w:jc w:val="both"/>
        <w:rPr>
          <w:sz w:val="20"/>
          <w:szCs w:val="20"/>
        </w:rPr>
      </w:pPr>
    </w:p>
    <w:p w14:paraId="6C532E94" w14:textId="77777777" w:rsidR="001910C4" w:rsidRPr="002C0C08" w:rsidRDefault="00342AB6" w:rsidP="001910C4">
      <w:pPr>
        <w:pStyle w:val="BodyText"/>
        <w:ind w:left="248" w:right="339"/>
        <w:jc w:val="both"/>
        <w:rPr>
          <w:sz w:val="20"/>
          <w:szCs w:val="20"/>
        </w:rPr>
      </w:pPr>
      <w:r w:rsidRPr="002C0C08">
        <w:rPr>
          <w:sz w:val="20"/>
          <w:szCs w:val="20"/>
        </w:rPr>
        <w:t>The evaluation of each candidate must be based on accomplishments. Recommendation for promotion and tenure must document significant accomplishments sufficient to lead to the conclusion that further accomplishments will be forthcoming. Expectations without accompanying accomplishments are meaningless. For example, unpublished papers or grant proposals being written or research underway are significant only if they extend specific accomplishments already documented. By themselves they are significant only insofar as they are predictors of extensions of accomplishments. Similar considerations apply equally to teaching and service. (The untenured faculty member has almost six years to establish credentials. If credentials cannot be established within this time, it is unlikely that they will ever be established.)</w:t>
      </w:r>
    </w:p>
    <w:p w14:paraId="2A0A1637" w14:textId="77777777" w:rsidR="001910C4" w:rsidRPr="002C0C08" w:rsidRDefault="001910C4" w:rsidP="001910C4">
      <w:pPr>
        <w:pStyle w:val="BodyText"/>
        <w:ind w:left="248" w:right="339"/>
        <w:jc w:val="both"/>
        <w:rPr>
          <w:sz w:val="20"/>
          <w:szCs w:val="20"/>
        </w:rPr>
      </w:pPr>
    </w:p>
    <w:p w14:paraId="26C4DBC6" w14:textId="77777777" w:rsidR="001910C4" w:rsidRPr="002C0C08" w:rsidRDefault="00342AB6" w:rsidP="001910C4">
      <w:pPr>
        <w:pStyle w:val="BodyText"/>
        <w:ind w:left="248" w:right="339"/>
        <w:jc w:val="both"/>
        <w:rPr>
          <w:sz w:val="20"/>
          <w:szCs w:val="20"/>
        </w:rPr>
      </w:pPr>
      <w:r w:rsidRPr="002C0C08">
        <w:rPr>
          <w:sz w:val="20"/>
          <w:szCs w:val="20"/>
        </w:rPr>
        <w:t>In establishing credentials for promotion and tenure, the most significant material should be work that has been done since the last promotion in rank. While earlier work is of some significance, that work has presumably been used to document a previous promotion or in the hiring decision. It should not be used again as a major criterion for promotion and/or tenure.</w:t>
      </w:r>
    </w:p>
    <w:p w14:paraId="71B9BC58" w14:textId="77777777" w:rsidR="001910C4" w:rsidRPr="002C0C08" w:rsidRDefault="001910C4" w:rsidP="001910C4">
      <w:pPr>
        <w:pStyle w:val="BodyText"/>
        <w:ind w:left="248" w:right="339"/>
        <w:jc w:val="both"/>
        <w:rPr>
          <w:sz w:val="20"/>
          <w:szCs w:val="20"/>
        </w:rPr>
      </w:pPr>
    </w:p>
    <w:p w14:paraId="2B3C0804" w14:textId="77777777" w:rsidR="001910C4" w:rsidRPr="002C0C08" w:rsidRDefault="00342AB6" w:rsidP="001910C4">
      <w:pPr>
        <w:pStyle w:val="BodyText"/>
        <w:ind w:left="248" w:right="339"/>
        <w:jc w:val="both"/>
        <w:rPr>
          <w:sz w:val="20"/>
          <w:szCs w:val="20"/>
        </w:rPr>
      </w:pPr>
      <w:r w:rsidRPr="002C0C08">
        <w:rPr>
          <w:sz w:val="20"/>
          <w:szCs w:val="20"/>
        </w:rPr>
        <w:t>It is to no one’s advantage — neither the University’s, the School’s, the Department’s, nor the individual’s — to nominate a faculty member for promotion and/or tenure prematurely. If a case appears questionable to a Primary Committee, the faculty member should be so informed and persuaded not to pursue the case further. Rejection at any level does not help anybody, and, in fact, can generate considerable ill will for all parties involved. The strategy of “send it up and see what the Dean (or the Unit Committee) does” is unfair to everyone concerned.</w:t>
      </w:r>
    </w:p>
    <w:p w14:paraId="5DAE3697" w14:textId="77777777" w:rsidR="001910C4" w:rsidRPr="002C0C08" w:rsidRDefault="001910C4" w:rsidP="001910C4">
      <w:pPr>
        <w:pStyle w:val="BodyText"/>
        <w:ind w:left="248" w:right="339"/>
        <w:jc w:val="both"/>
        <w:rPr>
          <w:sz w:val="20"/>
          <w:szCs w:val="20"/>
        </w:rPr>
      </w:pPr>
    </w:p>
    <w:p w14:paraId="57D3AF23" w14:textId="1117EB65" w:rsidR="00EF1BE8" w:rsidRPr="002C0C08" w:rsidRDefault="00342AB6" w:rsidP="001910C4">
      <w:pPr>
        <w:pStyle w:val="BodyText"/>
        <w:ind w:left="248" w:right="339"/>
        <w:jc w:val="both"/>
        <w:rPr>
          <w:sz w:val="20"/>
          <w:szCs w:val="20"/>
        </w:rPr>
      </w:pPr>
      <w:r w:rsidRPr="002C0C08">
        <w:rPr>
          <w:sz w:val="20"/>
          <w:szCs w:val="20"/>
        </w:rPr>
        <w:t>It is in the best interest of the University and the faculty that full and frank discussion occurs during the deliberations of promotion committees. The confidentiality of remarks made at such meetings must, however, be carefully preserved. Recommendations, positive or negative, may be discussed with the faculty member affected, in a discreet manner and without undue delay, by the appropriate Department Chair or Unit Committee representative(s). There should be no publicity or announcements, however, until the recommendation for promotion and/or tenure has been officially</w:t>
      </w:r>
      <w:r w:rsidR="00540549" w:rsidRPr="002C0C08">
        <w:rPr>
          <w:sz w:val="20"/>
          <w:szCs w:val="20"/>
        </w:rPr>
        <w:t xml:space="preserve"> </w:t>
      </w:r>
      <w:r w:rsidR="00532F96" w:rsidRPr="002C0C08">
        <w:rPr>
          <w:sz w:val="20"/>
          <w:szCs w:val="20"/>
        </w:rPr>
        <w:t>a</w:t>
      </w:r>
      <w:r w:rsidRPr="002C0C08">
        <w:rPr>
          <w:sz w:val="20"/>
          <w:szCs w:val="20"/>
        </w:rPr>
        <w:t>cted upon by the Board of Trustees of Indiana University</w:t>
      </w:r>
      <w:r w:rsidR="003359AD" w:rsidRPr="002C0C08">
        <w:rPr>
          <w:sz w:val="20"/>
          <w:szCs w:val="20"/>
        </w:rPr>
        <w:t>.</w:t>
      </w:r>
    </w:p>
    <w:p w14:paraId="6EF2B405" w14:textId="1CE5A5C1" w:rsidR="00EF1BE8" w:rsidRPr="002C0C08" w:rsidRDefault="00532F96" w:rsidP="006B3811">
      <w:pPr>
        <w:pStyle w:val="BodyText"/>
        <w:rPr>
          <w:sz w:val="20"/>
          <w:szCs w:val="20"/>
        </w:rPr>
      </w:pPr>
      <w:r w:rsidRPr="002C0C08">
        <w:rPr>
          <w:sz w:val="20"/>
          <w:szCs w:val="20"/>
        </w:rPr>
        <w:br/>
      </w:r>
    </w:p>
    <w:p w14:paraId="6FF109A4" w14:textId="77777777" w:rsidR="00EF1BE8" w:rsidRPr="002C0C08" w:rsidRDefault="00342AB6" w:rsidP="00540549">
      <w:pPr>
        <w:pStyle w:val="Heading1"/>
        <w:numPr>
          <w:ilvl w:val="0"/>
          <w:numId w:val="11"/>
        </w:numPr>
        <w:tabs>
          <w:tab w:val="left" w:pos="968"/>
          <w:tab w:val="left" w:pos="969"/>
        </w:tabs>
        <w:ind w:left="968" w:hanging="850"/>
        <w:rPr>
          <w:sz w:val="20"/>
          <w:szCs w:val="20"/>
        </w:rPr>
      </w:pPr>
      <w:bookmarkStart w:id="12" w:name="E._EVALUATION_OF_SCHOLARSHIP_AND_CREATIV"/>
      <w:bookmarkEnd w:id="12"/>
      <w:r w:rsidRPr="002C0C08">
        <w:rPr>
          <w:sz w:val="20"/>
          <w:szCs w:val="20"/>
        </w:rPr>
        <w:t>EVALUATION OF SCHOLARSHIP AND CREATIVE ACTIVITY</w:t>
      </w:r>
    </w:p>
    <w:p w14:paraId="0D0BD317" w14:textId="77777777" w:rsidR="00EF1BE8" w:rsidRPr="002C0C08" w:rsidRDefault="00EF1BE8" w:rsidP="00540549">
      <w:pPr>
        <w:pStyle w:val="BodyText"/>
        <w:rPr>
          <w:b/>
          <w:sz w:val="20"/>
          <w:szCs w:val="20"/>
        </w:rPr>
      </w:pPr>
    </w:p>
    <w:p w14:paraId="19ADCC3C" w14:textId="77777777" w:rsidR="00EF1BE8" w:rsidRPr="002C0C08" w:rsidRDefault="00342AB6" w:rsidP="006B3811">
      <w:pPr>
        <w:pStyle w:val="BodyText"/>
        <w:ind w:left="248" w:right="314"/>
        <w:jc w:val="both"/>
        <w:rPr>
          <w:sz w:val="20"/>
          <w:szCs w:val="20"/>
        </w:rPr>
      </w:pPr>
      <w:r w:rsidRPr="002C0C08">
        <w:rPr>
          <w:sz w:val="20"/>
          <w:szCs w:val="20"/>
        </w:rPr>
        <w:t>The sociological system under which science has developed and prospered over the last two hundred years requires the evaluation of scholarship and creative activity by a community of scientific peers, whether this activity is in teaching, research, service, or any combination of these. There are many ways in which this evaluation can be made.</w:t>
      </w:r>
    </w:p>
    <w:p w14:paraId="3B80DA16" w14:textId="77777777" w:rsidR="00EF1BE8" w:rsidRPr="002C0C08" w:rsidRDefault="00EF1BE8" w:rsidP="006B3811">
      <w:pPr>
        <w:pStyle w:val="BodyText"/>
        <w:rPr>
          <w:sz w:val="20"/>
          <w:szCs w:val="20"/>
        </w:rPr>
      </w:pPr>
    </w:p>
    <w:p w14:paraId="593B51FC" w14:textId="77777777" w:rsidR="00EF1BE8" w:rsidRPr="002C0C08" w:rsidRDefault="00342AB6" w:rsidP="006B3811">
      <w:pPr>
        <w:pStyle w:val="Heading4"/>
        <w:numPr>
          <w:ilvl w:val="1"/>
          <w:numId w:val="11"/>
        </w:numPr>
        <w:tabs>
          <w:tab w:val="left" w:pos="877"/>
          <w:tab w:val="left" w:pos="878"/>
        </w:tabs>
        <w:ind w:left="877" w:hanging="721"/>
        <w:rPr>
          <w:rFonts w:ascii="Times New Roman" w:hAnsi="Times New Roman" w:cs="Times New Roman"/>
          <w:i w:val="0"/>
          <w:sz w:val="20"/>
          <w:szCs w:val="20"/>
        </w:rPr>
      </w:pPr>
      <w:bookmarkStart w:id="13" w:name="1._Publications"/>
      <w:bookmarkEnd w:id="13"/>
      <w:r w:rsidRPr="002C0C08">
        <w:rPr>
          <w:rFonts w:ascii="Times New Roman" w:hAnsi="Times New Roman" w:cs="Times New Roman"/>
          <w:sz w:val="20"/>
          <w:szCs w:val="20"/>
        </w:rPr>
        <w:t>Publications</w:t>
      </w:r>
    </w:p>
    <w:p w14:paraId="53C52223" w14:textId="77777777" w:rsidR="00EF1BE8" w:rsidRPr="002C0C08" w:rsidRDefault="00EF1BE8" w:rsidP="006B3811">
      <w:pPr>
        <w:pStyle w:val="BodyText"/>
        <w:rPr>
          <w:b/>
          <w:i/>
          <w:sz w:val="20"/>
          <w:szCs w:val="20"/>
        </w:rPr>
      </w:pPr>
    </w:p>
    <w:p w14:paraId="4CBB80A4" w14:textId="77777777" w:rsidR="00EF1BE8" w:rsidRPr="002C0C08" w:rsidRDefault="00342AB6" w:rsidP="006B3811">
      <w:pPr>
        <w:pStyle w:val="BodyText"/>
        <w:ind w:left="245" w:right="313"/>
        <w:jc w:val="both"/>
        <w:rPr>
          <w:sz w:val="20"/>
          <w:szCs w:val="20"/>
        </w:rPr>
      </w:pPr>
      <w:r w:rsidRPr="002C0C08">
        <w:rPr>
          <w:sz w:val="20"/>
          <w:szCs w:val="20"/>
        </w:rPr>
        <w:t xml:space="preserve">The primary mechanism for evaluation of scholarship and creative activity is through the publication of peer-reviewed papers. The refereeing process is the foundation of the evaluation of scholarship and creative activity. After publication, papers are available to scientists throughout the world so that they may comment on the ideas, the data, the methodology, the results, the potential applications, and the quality and significance of the work. Thus it is important to publish in journals which require quality refereeing and which are generally available to the scientific community. In turn, it is important to obtain feedback from knowledgeable </w:t>
      </w:r>
      <w:r w:rsidRPr="002C0C08">
        <w:rPr>
          <w:sz w:val="20"/>
          <w:szCs w:val="20"/>
        </w:rPr>
        <w:lastRenderedPageBreak/>
        <w:t>scientists and to recognize the importance of meaningful citations to the candidate’s published work. Time must be allowed for this system to work.</w:t>
      </w:r>
    </w:p>
    <w:p w14:paraId="5042EAF2" w14:textId="77777777" w:rsidR="00EF1BE8" w:rsidRPr="002C0C08" w:rsidRDefault="00EF1BE8" w:rsidP="00540549">
      <w:pPr>
        <w:pStyle w:val="BodyText"/>
        <w:rPr>
          <w:sz w:val="20"/>
          <w:szCs w:val="20"/>
        </w:rPr>
      </w:pPr>
    </w:p>
    <w:p w14:paraId="323C17D0" w14:textId="77777777" w:rsidR="00EF1BE8" w:rsidRPr="002C0C08" w:rsidRDefault="00342AB6" w:rsidP="006B3811">
      <w:pPr>
        <w:pStyle w:val="BodyText"/>
        <w:ind w:left="248" w:right="296"/>
        <w:jc w:val="both"/>
        <w:rPr>
          <w:sz w:val="20"/>
          <w:szCs w:val="20"/>
        </w:rPr>
      </w:pPr>
      <w:r w:rsidRPr="002C0C08">
        <w:rPr>
          <w:sz w:val="20"/>
          <w:szCs w:val="20"/>
        </w:rPr>
        <w:t>It is important to evaluate both the journals in which the candidate has published and the refereeing process involved: certain journals have a very good reputation, others do not. Further, simply counting papers is not adequate: some papers are very significant, others less so. In evaluating scholarship and creative activity, it is important to establish the intellectual content of the work. Work that is conceptually new and unique and which breaks new ground is more significant than work that is routine and which simply extends the work of others in a straightforward way. It is important to identify the ultimate importance of the candidate’s scholarship and creative activity.</w:t>
      </w:r>
    </w:p>
    <w:p w14:paraId="466A4E7E" w14:textId="77777777" w:rsidR="00EF1BE8" w:rsidRPr="002C0C08" w:rsidRDefault="00EF1BE8" w:rsidP="006B3811">
      <w:pPr>
        <w:pStyle w:val="BodyText"/>
        <w:rPr>
          <w:sz w:val="20"/>
          <w:szCs w:val="20"/>
        </w:rPr>
      </w:pPr>
    </w:p>
    <w:p w14:paraId="77521FFF" w14:textId="77777777" w:rsidR="00EF1BE8" w:rsidRPr="002C0C08" w:rsidRDefault="00342AB6" w:rsidP="006B3811">
      <w:pPr>
        <w:pStyle w:val="BodyText"/>
        <w:ind w:left="247" w:right="296" w:firstLine="1"/>
        <w:jc w:val="both"/>
        <w:rPr>
          <w:sz w:val="20"/>
          <w:szCs w:val="20"/>
        </w:rPr>
      </w:pPr>
      <w:r w:rsidRPr="002C0C08">
        <w:rPr>
          <w:sz w:val="20"/>
          <w:szCs w:val="20"/>
        </w:rPr>
        <w:t>Books and book chapters are important forms of publication. Some books and book chapters present new and novel approaches that advance the view of their subject. Others synthesize and summarize the major findings of whole fields or subfields and serve as catalysts for further creative activity. Books and book chapters should be evaluated using the same standards as those used for journal papers. As with journal papers, it is important to establish the intellectual content of books and book chapters. Books and book chapters that are conceptually new and unique and which break new ground are more significant than books and book chapters that are routine and which simply repeat or extend the work of others in straightforward ways.</w:t>
      </w:r>
    </w:p>
    <w:p w14:paraId="24A26CE1" w14:textId="77777777" w:rsidR="00EF1BE8" w:rsidRPr="002C0C08" w:rsidRDefault="00EF1BE8" w:rsidP="006B3811">
      <w:pPr>
        <w:pStyle w:val="BodyText"/>
        <w:rPr>
          <w:sz w:val="20"/>
          <w:szCs w:val="20"/>
        </w:rPr>
      </w:pPr>
    </w:p>
    <w:p w14:paraId="0637B54E" w14:textId="77777777" w:rsidR="00EF1BE8" w:rsidRPr="002C0C08" w:rsidRDefault="00342AB6" w:rsidP="006B3811">
      <w:pPr>
        <w:pStyle w:val="BodyText"/>
        <w:ind w:left="248" w:right="315"/>
        <w:jc w:val="both"/>
        <w:rPr>
          <w:sz w:val="20"/>
          <w:szCs w:val="20"/>
        </w:rPr>
      </w:pPr>
      <w:r w:rsidRPr="002C0C08">
        <w:rPr>
          <w:sz w:val="20"/>
          <w:szCs w:val="20"/>
        </w:rPr>
        <w:t>Papers that have been submitted to journals should be identified as to the journal with the same information given as with papers already published. Status of the submission should be indicated. Papers in preparation should not be included in the dossier. They may, however, be mentioned in the discussion of interests.</w:t>
      </w:r>
    </w:p>
    <w:p w14:paraId="22332257" w14:textId="77777777" w:rsidR="00EF1BE8" w:rsidRPr="002C0C08" w:rsidRDefault="00EF1BE8" w:rsidP="006B3811">
      <w:pPr>
        <w:pStyle w:val="BodyText"/>
        <w:rPr>
          <w:sz w:val="20"/>
          <w:szCs w:val="20"/>
        </w:rPr>
      </w:pPr>
    </w:p>
    <w:p w14:paraId="1EB93581" w14:textId="77777777" w:rsidR="00EF1BE8" w:rsidRPr="002C0C08" w:rsidRDefault="00342AB6" w:rsidP="00540549">
      <w:pPr>
        <w:pStyle w:val="Heading4"/>
        <w:numPr>
          <w:ilvl w:val="1"/>
          <w:numId w:val="11"/>
        </w:numPr>
        <w:tabs>
          <w:tab w:val="left" w:pos="877"/>
          <w:tab w:val="left" w:pos="878"/>
        </w:tabs>
        <w:ind w:left="877" w:hanging="721"/>
        <w:rPr>
          <w:rFonts w:ascii="Times New Roman" w:hAnsi="Times New Roman" w:cs="Times New Roman"/>
          <w:i w:val="0"/>
          <w:sz w:val="20"/>
          <w:szCs w:val="20"/>
        </w:rPr>
      </w:pPr>
      <w:bookmarkStart w:id="14" w:name="2._Letters_of_Evaluation"/>
      <w:bookmarkEnd w:id="14"/>
      <w:r w:rsidRPr="002C0C08">
        <w:rPr>
          <w:rFonts w:ascii="Times New Roman" w:hAnsi="Times New Roman" w:cs="Times New Roman"/>
          <w:sz w:val="20"/>
          <w:szCs w:val="20"/>
        </w:rPr>
        <w:t>Letters of Evaluation</w:t>
      </w:r>
    </w:p>
    <w:p w14:paraId="42465DCB" w14:textId="77777777" w:rsidR="00EF1BE8" w:rsidRPr="002C0C08" w:rsidRDefault="00EF1BE8" w:rsidP="006B3811">
      <w:pPr>
        <w:pStyle w:val="BodyText"/>
        <w:rPr>
          <w:b/>
          <w:i/>
          <w:sz w:val="20"/>
          <w:szCs w:val="20"/>
        </w:rPr>
      </w:pPr>
    </w:p>
    <w:p w14:paraId="15EF29A8" w14:textId="416EE4A5" w:rsidR="00EF1BE8" w:rsidRPr="002C0C08" w:rsidRDefault="00342AB6" w:rsidP="006B3811">
      <w:pPr>
        <w:pStyle w:val="BodyText"/>
        <w:ind w:right="299"/>
        <w:jc w:val="both"/>
        <w:rPr>
          <w:sz w:val="20"/>
          <w:szCs w:val="20"/>
        </w:rPr>
      </w:pPr>
      <w:r w:rsidRPr="002C0C08">
        <w:rPr>
          <w:sz w:val="20"/>
          <w:szCs w:val="20"/>
        </w:rPr>
        <w:t>It is essential that scholarship and creative activity be evaluated both by members of the Department who are knowledgeable in similar areas, and by experts elsewhere. The primary method for</w:t>
      </w:r>
      <w:r w:rsidR="00532F96" w:rsidRPr="002C0C08">
        <w:rPr>
          <w:sz w:val="20"/>
          <w:szCs w:val="20"/>
        </w:rPr>
        <w:t xml:space="preserve">  </w:t>
      </w:r>
      <w:r w:rsidRPr="002C0C08">
        <w:rPr>
          <w:sz w:val="20"/>
          <w:szCs w:val="20"/>
        </w:rPr>
        <w:t>obtaining evaluation by experts elsewhere is through letters of evaluation, although comments by referees of papers and proposals, and meaningful citations to papers are also useful and should be provided when available. In addition to the required Letters of Evaluation subject to the conditions below (</w:t>
      </w:r>
      <w:r w:rsidRPr="002C0C08">
        <w:rPr>
          <w:i/>
          <w:sz w:val="20"/>
          <w:szCs w:val="20"/>
        </w:rPr>
        <w:t xml:space="preserve">a </w:t>
      </w:r>
      <w:r w:rsidRPr="002C0C08">
        <w:rPr>
          <w:sz w:val="20"/>
          <w:szCs w:val="20"/>
        </w:rPr>
        <w:t xml:space="preserve">– </w:t>
      </w:r>
      <w:r w:rsidRPr="002C0C08">
        <w:rPr>
          <w:i/>
          <w:sz w:val="20"/>
          <w:szCs w:val="20"/>
        </w:rPr>
        <w:t>l</w:t>
      </w:r>
      <w:r w:rsidRPr="002C0C08">
        <w:rPr>
          <w:sz w:val="20"/>
          <w:szCs w:val="20"/>
        </w:rPr>
        <w:t>), supplemental letters may be appended that clarify situations, resolve ambiguities, or describe other aspects of the dossier. These supplemental letters do not satisfy the requirements for the minimum number of required letters.</w:t>
      </w:r>
    </w:p>
    <w:p w14:paraId="131DDB77" w14:textId="77777777" w:rsidR="00EF1BE8" w:rsidRPr="002C0C08" w:rsidRDefault="00EF1BE8" w:rsidP="006B3811">
      <w:pPr>
        <w:pStyle w:val="BodyText"/>
        <w:rPr>
          <w:sz w:val="20"/>
          <w:szCs w:val="20"/>
        </w:rPr>
      </w:pPr>
    </w:p>
    <w:p w14:paraId="1DB2EA32" w14:textId="5D594CCA" w:rsidR="0051682C" w:rsidRPr="002C0C08" w:rsidRDefault="00342AB6" w:rsidP="005C5D84">
      <w:pPr>
        <w:pStyle w:val="BodyText"/>
        <w:ind w:right="300"/>
        <w:jc w:val="both"/>
        <w:rPr>
          <w:sz w:val="20"/>
          <w:szCs w:val="20"/>
        </w:rPr>
      </w:pPr>
      <w:r w:rsidRPr="002C0C08">
        <w:rPr>
          <w:sz w:val="20"/>
          <w:szCs w:val="20"/>
        </w:rPr>
        <w:t>External letters of evaluation (from non-</w:t>
      </w:r>
      <w:r w:rsidR="00B8385B" w:rsidRPr="002C0C08">
        <w:rPr>
          <w:sz w:val="20"/>
          <w:szCs w:val="20"/>
        </w:rPr>
        <w:t>Indiana University Indianapolis</w:t>
      </w:r>
      <w:r w:rsidRPr="002C0C08">
        <w:rPr>
          <w:sz w:val="20"/>
          <w:szCs w:val="20"/>
        </w:rPr>
        <w:t xml:space="preserve"> campus personnel) are thus required of all professorial </w:t>
      </w:r>
      <w:r w:rsidR="0051682C" w:rsidRPr="002C0C08">
        <w:rPr>
          <w:rStyle w:val="normaltextrun"/>
          <w:sz w:val="20"/>
          <w:szCs w:val="20"/>
          <w:u w:val="single"/>
        </w:rPr>
        <w:t>(i.e., tenure-track, teaching, clinical) and scientist</w:t>
      </w:r>
      <w:r w:rsidR="0051682C" w:rsidRPr="002C0C08">
        <w:rPr>
          <w:rStyle w:val="normaltextrun"/>
          <w:sz w:val="20"/>
          <w:szCs w:val="20"/>
        </w:rPr>
        <w:t xml:space="preserve"> </w:t>
      </w:r>
      <w:r w:rsidRPr="002C0C08">
        <w:rPr>
          <w:sz w:val="20"/>
          <w:szCs w:val="20"/>
        </w:rPr>
        <w:t>candidates for promotion</w:t>
      </w:r>
      <w:r w:rsidR="009D44B3" w:rsidRPr="002C0C08">
        <w:rPr>
          <w:sz w:val="20"/>
          <w:szCs w:val="20"/>
        </w:rPr>
        <w:t xml:space="preserve"> </w:t>
      </w:r>
      <w:r w:rsidRPr="002C0C08">
        <w:rPr>
          <w:sz w:val="20"/>
          <w:szCs w:val="20"/>
        </w:rPr>
        <w:t>and/or tenure. The rules governing letters of evaluation are as follows:</w:t>
      </w:r>
    </w:p>
    <w:p w14:paraId="6F9ACBE8" w14:textId="77777777" w:rsidR="00EF1BE8" w:rsidRPr="002C0C08" w:rsidRDefault="00EF1BE8" w:rsidP="00540549">
      <w:pPr>
        <w:pStyle w:val="BodyText"/>
        <w:rPr>
          <w:sz w:val="20"/>
          <w:szCs w:val="20"/>
        </w:rPr>
      </w:pPr>
    </w:p>
    <w:p w14:paraId="208D72B4" w14:textId="77777777" w:rsidR="00EF1BE8" w:rsidRPr="002C0C08" w:rsidRDefault="00342AB6" w:rsidP="00357075">
      <w:pPr>
        <w:pStyle w:val="ListParagraph"/>
        <w:numPr>
          <w:ilvl w:val="2"/>
          <w:numId w:val="11"/>
        </w:numPr>
        <w:tabs>
          <w:tab w:val="left" w:pos="1237"/>
          <w:tab w:val="left" w:pos="1238"/>
        </w:tabs>
        <w:ind w:left="1237" w:right="533" w:hanging="361"/>
        <w:rPr>
          <w:sz w:val="20"/>
          <w:szCs w:val="20"/>
        </w:rPr>
      </w:pPr>
      <w:r w:rsidRPr="002C0C08">
        <w:rPr>
          <w:sz w:val="20"/>
          <w:szCs w:val="20"/>
        </w:rPr>
        <w:t>All letters of evaluation are to be requested by the Department Chair. In no event are letters of evaluation to be requested by the candidate.</w:t>
      </w:r>
    </w:p>
    <w:p w14:paraId="6D761AC3" w14:textId="77777777" w:rsidR="00EF1BE8" w:rsidRPr="002C0C08" w:rsidRDefault="00EF1BE8" w:rsidP="00357075">
      <w:pPr>
        <w:pStyle w:val="BodyText"/>
        <w:rPr>
          <w:sz w:val="20"/>
          <w:szCs w:val="20"/>
        </w:rPr>
      </w:pPr>
    </w:p>
    <w:p w14:paraId="66ED8D98" w14:textId="77777777" w:rsidR="00EF1BE8" w:rsidRPr="002C0C08" w:rsidRDefault="00342AB6" w:rsidP="006B3811">
      <w:pPr>
        <w:pStyle w:val="ListParagraph"/>
        <w:numPr>
          <w:ilvl w:val="2"/>
          <w:numId w:val="11"/>
        </w:numPr>
        <w:tabs>
          <w:tab w:val="left" w:pos="1238"/>
        </w:tabs>
        <w:ind w:left="1236" w:right="326" w:hanging="359"/>
        <w:jc w:val="both"/>
        <w:rPr>
          <w:sz w:val="20"/>
          <w:szCs w:val="20"/>
        </w:rPr>
      </w:pPr>
      <w:r w:rsidRPr="002C0C08">
        <w:rPr>
          <w:sz w:val="20"/>
          <w:szCs w:val="20"/>
        </w:rPr>
        <w:t>The candidate shall have the opportunity to supply names of those who might be asked for letters of evaluation as well as those who should be excluded. Other names should be suggested by the Primary Committee and/or the Department Chair, and the final list of reviewers should be based on a joint decision by the Primary Committee and the Department Chair. The candidate should not be informed about the identities of the final external reviewers.</w:t>
      </w:r>
    </w:p>
    <w:p w14:paraId="425DE9A5" w14:textId="77777777" w:rsidR="00EF1BE8" w:rsidRPr="002C0C08" w:rsidRDefault="00EF1BE8" w:rsidP="006B3811">
      <w:pPr>
        <w:pStyle w:val="BodyText"/>
        <w:rPr>
          <w:sz w:val="20"/>
          <w:szCs w:val="20"/>
        </w:rPr>
      </w:pPr>
    </w:p>
    <w:p w14:paraId="27D92839" w14:textId="77777777" w:rsidR="00EF1BE8" w:rsidRPr="002C0C08" w:rsidRDefault="00342AB6" w:rsidP="006B3811">
      <w:pPr>
        <w:pStyle w:val="ListParagraph"/>
        <w:numPr>
          <w:ilvl w:val="2"/>
          <w:numId w:val="11"/>
        </w:numPr>
        <w:tabs>
          <w:tab w:val="left" w:pos="1238"/>
        </w:tabs>
        <w:ind w:left="1237" w:right="320" w:hanging="360"/>
        <w:jc w:val="both"/>
        <w:rPr>
          <w:sz w:val="20"/>
          <w:szCs w:val="20"/>
        </w:rPr>
      </w:pPr>
      <w:r w:rsidRPr="002C0C08">
        <w:rPr>
          <w:sz w:val="20"/>
          <w:szCs w:val="20"/>
        </w:rPr>
        <w:t xml:space="preserve">A minimum of six letters of evaluation must be received for consideration of tenure and promotion in professorial ranks. Candidates under consideration for promotion to Senior Lecturer should have a minimum of six letters of recommendation, all from outside the department and at least one from outside the Unit, and should be from individuals who are in the professorial ranks or who hold an appointment as Senior Lecturer. Letters of evaluation for Senior Lecturer should not be from former mentors or from individuals who have collaborated with the candidate in the last five years. (In anticipation of some letters not being received, enough letters must be requested that the required number of letters are received.) Such collaboration may involve joint grants and joint co-authorship of publications and presentations. For promotion to the rank of Associate or Full Professor, these letters must be from individuals other than former or current advisors, postdoctoral mentors, students, or collaborators in the last five years. Supplementary reference letters, in addition to the required minimum number of letters of evaluation, may be </w:t>
      </w:r>
      <w:r w:rsidRPr="002C0C08">
        <w:rPr>
          <w:sz w:val="20"/>
          <w:szCs w:val="20"/>
        </w:rPr>
        <w:lastRenderedPageBreak/>
        <w:t>included in evidence section of the dossier so that they best serve the purpose of establishing the candidate’s contribution to joint work. These additional letters may come from former or current advisors, postdoctoral mentors, or collaborators of the candidate.</w:t>
      </w:r>
    </w:p>
    <w:p w14:paraId="50E8DEE9" w14:textId="77777777" w:rsidR="00EF1BE8" w:rsidRPr="002C0C08" w:rsidRDefault="00EF1BE8" w:rsidP="00540549">
      <w:pPr>
        <w:pStyle w:val="BodyText"/>
        <w:rPr>
          <w:sz w:val="20"/>
          <w:szCs w:val="20"/>
        </w:rPr>
      </w:pPr>
    </w:p>
    <w:p w14:paraId="12AA356F" w14:textId="5765F9E5" w:rsidR="00EF1BE8" w:rsidRPr="002C0C08" w:rsidRDefault="00342AB6" w:rsidP="006B3811">
      <w:pPr>
        <w:pStyle w:val="ListParagraph"/>
        <w:numPr>
          <w:ilvl w:val="2"/>
          <w:numId w:val="11"/>
        </w:numPr>
        <w:tabs>
          <w:tab w:val="left" w:pos="1238"/>
        </w:tabs>
        <w:ind w:left="1237" w:right="328" w:hanging="360"/>
        <w:jc w:val="both"/>
        <w:rPr>
          <w:sz w:val="20"/>
          <w:szCs w:val="20"/>
        </w:rPr>
      </w:pPr>
      <w:r w:rsidRPr="002C0C08">
        <w:rPr>
          <w:sz w:val="20"/>
          <w:szCs w:val="20"/>
        </w:rPr>
        <w:t>Evaluators should be selected on the basis of their ability to comment on the candidate’s professional accomplishments. One effective way to verify that an Assistant Professor has established a significant record of accomplishment and shows promise of continued professional growth and recognition, and that an Associate Professor is recognized as an authority in their field of specialization by external colleagues, national and/or international as may be appropriate in their academic discipline, is by means of letters of evaluation. Accordingly it is important, for candidates under consideration for</w:t>
      </w:r>
      <w:r w:rsidR="00532F96" w:rsidRPr="002C0C08">
        <w:rPr>
          <w:sz w:val="20"/>
          <w:szCs w:val="20"/>
        </w:rPr>
        <w:t xml:space="preserve"> </w:t>
      </w:r>
      <w:r w:rsidRPr="002C0C08">
        <w:rPr>
          <w:sz w:val="20"/>
          <w:szCs w:val="20"/>
        </w:rPr>
        <w:t>promotion and tenure in professorial ranks, to avoid soliciting letters from evaluators who served during an overlapping period at institutions where the candidate has been located. Scientists elsewhere should have the candidate’s documentation that allows for an accurate evaluation of the candidate’s teaching, research, and or service (as appropriate). In order to demonstrate the highest level of credibility, all issues of potential conflict of interest are mitigated by carefully adhering to these guidelines.</w:t>
      </w:r>
    </w:p>
    <w:p w14:paraId="1C644670" w14:textId="77777777" w:rsidR="00532F96" w:rsidRPr="002C0C08" w:rsidRDefault="00532F96" w:rsidP="006B3811">
      <w:pPr>
        <w:tabs>
          <w:tab w:val="left" w:pos="1238"/>
        </w:tabs>
        <w:ind w:left="877" w:right="327"/>
        <w:jc w:val="both"/>
        <w:rPr>
          <w:sz w:val="20"/>
          <w:szCs w:val="20"/>
        </w:rPr>
      </w:pPr>
    </w:p>
    <w:p w14:paraId="26D0A3D7" w14:textId="657D8BAD" w:rsidR="00EF1BE8" w:rsidRPr="002C0C08" w:rsidRDefault="00342AB6" w:rsidP="006B3811">
      <w:pPr>
        <w:pStyle w:val="ListParagraph"/>
        <w:numPr>
          <w:ilvl w:val="2"/>
          <w:numId w:val="11"/>
        </w:numPr>
        <w:tabs>
          <w:tab w:val="left" w:pos="1238"/>
        </w:tabs>
        <w:ind w:left="1237" w:right="327" w:hanging="360"/>
        <w:jc w:val="both"/>
        <w:rPr>
          <w:sz w:val="20"/>
          <w:szCs w:val="20"/>
        </w:rPr>
      </w:pPr>
      <w:r w:rsidRPr="002C0C08">
        <w:rPr>
          <w:sz w:val="20"/>
          <w:szCs w:val="20"/>
        </w:rPr>
        <w:t>Although letters of evaluation are not normally disclosed to candidates, an Indiana state law permits employees to gain access to their personnel files. Potential evaluators will be informed of this policy even if the candidate signs a waiver relinquishing their right to see the letters of evaluation. Should a potential evaluator critical to the review of a case be willing to write contingent on confidentiality and/or anonymity to the candidate, but should the candidate be unwilling to sign a waiver, the potential evaluator will not be solicited and the circumstances surrounding the incident will be noted in the dossier (the anonymity of the evaluator being maintained, if so requested).</w:t>
      </w:r>
    </w:p>
    <w:p w14:paraId="2D2A31A5" w14:textId="77777777" w:rsidR="00EF1BE8" w:rsidRPr="002C0C08" w:rsidRDefault="00EF1BE8" w:rsidP="006B3811">
      <w:pPr>
        <w:pStyle w:val="BodyText"/>
        <w:rPr>
          <w:sz w:val="20"/>
          <w:szCs w:val="20"/>
        </w:rPr>
      </w:pPr>
    </w:p>
    <w:p w14:paraId="46BF45CE" w14:textId="6E460683" w:rsidR="00EF1BE8" w:rsidRPr="002C0C08" w:rsidRDefault="00342AB6" w:rsidP="006B3811">
      <w:pPr>
        <w:pStyle w:val="ListParagraph"/>
        <w:numPr>
          <w:ilvl w:val="2"/>
          <w:numId w:val="11"/>
        </w:numPr>
        <w:tabs>
          <w:tab w:val="left" w:pos="1238"/>
        </w:tabs>
        <w:ind w:left="1237" w:right="332" w:hanging="360"/>
        <w:jc w:val="both"/>
        <w:rPr>
          <w:sz w:val="20"/>
          <w:szCs w:val="20"/>
        </w:rPr>
      </w:pPr>
      <w:r w:rsidRPr="002C0C08">
        <w:rPr>
          <w:sz w:val="20"/>
          <w:szCs w:val="20"/>
        </w:rPr>
        <w:t xml:space="preserve">For candidates under consideration for promotion and tenure in professorial ranks, individuals writing the mandatory six letters of evaluation may not include </w:t>
      </w:r>
      <w:r w:rsidR="00B8385B" w:rsidRPr="002C0C08">
        <w:rPr>
          <w:sz w:val="20"/>
          <w:szCs w:val="20"/>
        </w:rPr>
        <w:t>Indiana University Indianapolis</w:t>
      </w:r>
      <w:r w:rsidRPr="002C0C08">
        <w:rPr>
          <w:sz w:val="20"/>
          <w:szCs w:val="20"/>
        </w:rPr>
        <w:t xml:space="preserve"> personnel.</w:t>
      </w:r>
    </w:p>
    <w:p w14:paraId="32E5D8E3" w14:textId="77777777" w:rsidR="00EF1BE8" w:rsidRPr="002C0C08" w:rsidRDefault="00EF1BE8" w:rsidP="006B3811">
      <w:pPr>
        <w:pStyle w:val="BodyText"/>
        <w:rPr>
          <w:sz w:val="20"/>
          <w:szCs w:val="20"/>
        </w:rPr>
      </w:pPr>
    </w:p>
    <w:p w14:paraId="36BE4944" w14:textId="77777777" w:rsidR="00EF1BE8" w:rsidRPr="002C0C08" w:rsidRDefault="00342AB6" w:rsidP="006B3811">
      <w:pPr>
        <w:pStyle w:val="ListParagraph"/>
        <w:numPr>
          <w:ilvl w:val="2"/>
          <w:numId w:val="11"/>
        </w:numPr>
        <w:tabs>
          <w:tab w:val="left" w:pos="1238"/>
        </w:tabs>
        <w:ind w:left="1237" w:right="332" w:hanging="360"/>
        <w:jc w:val="both"/>
        <w:rPr>
          <w:sz w:val="20"/>
          <w:szCs w:val="20"/>
        </w:rPr>
      </w:pPr>
      <w:r w:rsidRPr="002C0C08">
        <w:rPr>
          <w:sz w:val="20"/>
          <w:szCs w:val="20"/>
        </w:rPr>
        <w:t>All letters of evaluation applying to professorial ranks must be requested using the letter of solicitation provided in Appendix A. Modifications of this letter, beyond use of the options indicated, may not be made. Initial verbal requests for letters of evaluation may be made to secure commitments, but formal requests for letters of evaluation must be made using the letter of solicitation provided in Appendix A.</w:t>
      </w:r>
    </w:p>
    <w:p w14:paraId="3D0D9683" w14:textId="77777777" w:rsidR="00EF1BE8" w:rsidRPr="002C0C08" w:rsidRDefault="00EF1BE8" w:rsidP="006B3811">
      <w:pPr>
        <w:pStyle w:val="BodyText"/>
        <w:rPr>
          <w:sz w:val="20"/>
          <w:szCs w:val="20"/>
        </w:rPr>
      </w:pPr>
    </w:p>
    <w:p w14:paraId="4D53ED24" w14:textId="77777777" w:rsidR="00EF1BE8" w:rsidRPr="002C0C08" w:rsidRDefault="00342AB6" w:rsidP="006B3811">
      <w:pPr>
        <w:pStyle w:val="ListParagraph"/>
        <w:numPr>
          <w:ilvl w:val="2"/>
          <w:numId w:val="11"/>
        </w:numPr>
        <w:tabs>
          <w:tab w:val="left" w:pos="1238"/>
        </w:tabs>
        <w:ind w:left="1237" w:right="325" w:hanging="360"/>
        <w:jc w:val="both"/>
        <w:rPr>
          <w:sz w:val="20"/>
          <w:szCs w:val="20"/>
        </w:rPr>
      </w:pPr>
      <w:r w:rsidRPr="002C0C08">
        <w:rPr>
          <w:sz w:val="20"/>
          <w:szCs w:val="20"/>
        </w:rPr>
        <w:t>All letters should be requested at the same time. Additional letters may not be requested following receipt of a negative evaluation, and (unless there is a good reason) letters used in one year should not be used in another. If additional letters must be sought because an evaluator cannot meet their commitment, the situation should be explained. The request for letters should be made early enough that all letters are received by September 1 of the year in which the candidate is to be considered.</w:t>
      </w:r>
    </w:p>
    <w:p w14:paraId="27BD57D8" w14:textId="77777777" w:rsidR="00EF1BE8" w:rsidRPr="002C0C08" w:rsidRDefault="00EF1BE8" w:rsidP="006B3811">
      <w:pPr>
        <w:pStyle w:val="BodyText"/>
        <w:rPr>
          <w:sz w:val="20"/>
          <w:szCs w:val="20"/>
        </w:rPr>
      </w:pPr>
    </w:p>
    <w:p w14:paraId="25DFC42D" w14:textId="77777777" w:rsidR="00EF1BE8" w:rsidRPr="002C0C08" w:rsidRDefault="00342AB6" w:rsidP="006B3811">
      <w:pPr>
        <w:pStyle w:val="ListParagraph"/>
        <w:numPr>
          <w:ilvl w:val="2"/>
          <w:numId w:val="11"/>
        </w:numPr>
        <w:tabs>
          <w:tab w:val="left" w:pos="1238"/>
        </w:tabs>
        <w:ind w:left="1237" w:right="320" w:hanging="360"/>
        <w:jc w:val="both"/>
        <w:rPr>
          <w:sz w:val="20"/>
          <w:szCs w:val="20"/>
        </w:rPr>
      </w:pPr>
      <w:r w:rsidRPr="002C0C08">
        <w:rPr>
          <w:sz w:val="20"/>
          <w:szCs w:val="20"/>
        </w:rPr>
        <w:t>All letters solicited and received, as well as a sample request letter, must be included in the promotion and tenure file and dossier. Neither the candidate nor subsequent reviewers may exclude letters. Extracts or summaries cannot be used as they may be misunderstood or misinterpreted.</w:t>
      </w:r>
    </w:p>
    <w:p w14:paraId="1475A97F" w14:textId="77777777" w:rsidR="00EF1BE8" w:rsidRPr="002C0C08" w:rsidRDefault="00EF1BE8" w:rsidP="006B3811">
      <w:pPr>
        <w:pStyle w:val="BodyText"/>
        <w:rPr>
          <w:sz w:val="20"/>
          <w:szCs w:val="20"/>
        </w:rPr>
      </w:pPr>
    </w:p>
    <w:p w14:paraId="00F43AFE" w14:textId="77777777" w:rsidR="00EF1BE8" w:rsidRPr="002C0C08" w:rsidRDefault="00342AB6" w:rsidP="006B3811">
      <w:pPr>
        <w:pStyle w:val="ListParagraph"/>
        <w:numPr>
          <w:ilvl w:val="2"/>
          <w:numId w:val="11"/>
        </w:numPr>
        <w:tabs>
          <w:tab w:val="left" w:pos="1238"/>
        </w:tabs>
        <w:ind w:left="1237" w:right="328" w:hanging="360"/>
        <w:jc w:val="both"/>
        <w:rPr>
          <w:sz w:val="20"/>
          <w:szCs w:val="20"/>
        </w:rPr>
      </w:pPr>
      <w:r w:rsidRPr="002C0C08">
        <w:rPr>
          <w:sz w:val="20"/>
          <w:szCs w:val="20"/>
        </w:rPr>
        <w:t>Brief biographical sketches of all individuals who have been formally asked to write letters of evaluation must be included. These sketches must be sufficient to establish the authority of the evaluator in relation to the specific case under review. For non- academic evaluators, their ability to accurately assess the candidate’s record should be described. Ordinarily, two or three sentences should suffice. These biographical sketches are not to be written by the candidate.</w:t>
      </w:r>
    </w:p>
    <w:p w14:paraId="3487CB2F" w14:textId="77777777" w:rsidR="00EF1BE8" w:rsidRPr="002C0C08" w:rsidRDefault="00EF1BE8" w:rsidP="006B3811">
      <w:pPr>
        <w:pStyle w:val="BodyText"/>
        <w:rPr>
          <w:sz w:val="20"/>
          <w:szCs w:val="20"/>
        </w:rPr>
      </w:pPr>
    </w:p>
    <w:p w14:paraId="59C377DF" w14:textId="3744A264" w:rsidR="00EF1BE8" w:rsidRPr="002C0C08" w:rsidRDefault="00342AB6" w:rsidP="006B3811">
      <w:pPr>
        <w:pStyle w:val="ListParagraph"/>
        <w:numPr>
          <w:ilvl w:val="2"/>
          <w:numId w:val="11"/>
        </w:numPr>
        <w:tabs>
          <w:tab w:val="left" w:pos="1329"/>
        </w:tabs>
        <w:ind w:left="1328" w:right="313" w:hanging="360"/>
        <w:jc w:val="both"/>
        <w:rPr>
          <w:sz w:val="20"/>
          <w:szCs w:val="20"/>
        </w:rPr>
      </w:pPr>
      <w:r w:rsidRPr="002C0C08">
        <w:rPr>
          <w:sz w:val="20"/>
          <w:szCs w:val="20"/>
        </w:rPr>
        <w:t>For candidates under consideration for promotion and tenure in professorial ranks, the majority of the mandatory six letters of evaluation (at least four of the six) must come</w:t>
      </w:r>
      <w:r w:rsidR="005D50AF" w:rsidRPr="002C0C08">
        <w:rPr>
          <w:sz w:val="20"/>
          <w:szCs w:val="20"/>
        </w:rPr>
        <w:t xml:space="preserve"> </w:t>
      </w:r>
      <w:r w:rsidRPr="002C0C08">
        <w:rPr>
          <w:sz w:val="20"/>
          <w:szCs w:val="20"/>
        </w:rPr>
        <w:t xml:space="preserve">from individuals who have or who have had academic appointments. All letters must come from individuals who have or have had at least the rank, or comparable position, for which the candidate is being </w:t>
      </w:r>
      <w:r w:rsidRPr="002C0C08">
        <w:rPr>
          <w:sz w:val="20"/>
          <w:szCs w:val="20"/>
        </w:rPr>
        <w:lastRenderedPageBreak/>
        <w:t>considered. The six required letters for candidates under consideration for promotion to Senior Lecturer must be from individuals holding either a professorial or Senior Lecturer rank. Evaluators who do not hold academic appointments must have established a demonstrable professional expertise that allows them to evaluate the evidence presented to them.</w:t>
      </w:r>
    </w:p>
    <w:p w14:paraId="3ADA7FB4" w14:textId="77777777" w:rsidR="00EF1BE8" w:rsidRPr="002C0C08" w:rsidRDefault="00EF1BE8" w:rsidP="006B3811">
      <w:pPr>
        <w:pStyle w:val="BodyText"/>
        <w:rPr>
          <w:sz w:val="20"/>
          <w:szCs w:val="20"/>
        </w:rPr>
      </w:pPr>
    </w:p>
    <w:p w14:paraId="6B61E020" w14:textId="77777777" w:rsidR="00EF1BE8" w:rsidRPr="002C0C08" w:rsidRDefault="00342AB6" w:rsidP="006B3811">
      <w:pPr>
        <w:pStyle w:val="ListParagraph"/>
        <w:numPr>
          <w:ilvl w:val="2"/>
          <w:numId w:val="11"/>
        </w:numPr>
        <w:tabs>
          <w:tab w:val="left" w:pos="1328"/>
          <w:tab w:val="left" w:pos="1329"/>
        </w:tabs>
        <w:ind w:left="1328" w:right="375" w:hanging="360"/>
        <w:rPr>
          <w:sz w:val="20"/>
          <w:szCs w:val="20"/>
        </w:rPr>
      </w:pPr>
      <w:r w:rsidRPr="002C0C08">
        <w:rPr>
          <w:sz w:val="20"/>
          <w:szCs w:val="20"/>
        </w:rPr>
        <w:t>An External Referee Form will be included with each letter sent to external evaluators (see Appendix B)</w:t>
      </w:r>
    </w:p>
    <w:p w14:paraId="24E00D42" w14:textId="77777777" w:rsidR="00EF1BE8" w:rsidRPr="002C0C08" w:rsidRDefault="00EF1BE8" w:rsidP="006B3811">
      <w:pPr>
        <w:pStyle w:val="BodyText"/>
        <w:rPr>
          <w:sz w:val="20"/>
          <w:szCs w:val="20"/>
        </w:rPr>
      </w:pPr>
    </w:p>
    <w:p w14:paraId="42696A87" w14:textId="77777777" w:rsidR="00EF1BE8" w:rsidRPr="002C0C08" w:rsidRDefault="00342AB6" w:rsidP="00540549">
      <w:pPr>
        <w:pStyle w:val="Heading4"/>
        <w:numPr>
          <w:ilvl w:val="1"/>
          <w:numId w:val="11"/>
        </w:numPr>
        <w:tabs>
          <w:tab w:val="left" w:pos="877"/>
          <w:tab w:val="left" w:pos="878"/>
        </w:tabs>
        <w:ind w:left="877" w:hanging="721"/>
        <w:rPr>
          <w:rFonts w:ascii="Times New Roman" w:hAnsi="Times New Roman" w:cs="Times New Roman"/>
          <w:i w:val="0"/>
          <w:sz w:val="20"/>
          <w:szCs w:val="20"/>
        </w:rPr>
      </w:pPr>
      <w:bookmarkStart w:id="15" w:name="3._Professional_Presentations"/>
      <w:bookmarkEnd w:id="15"/>
      <w:r w:rsidRPr="002C0C08">
        <w:rPr>
          <w:rFonts w:ascii="Times New Roman" w:hAnsi="Times New Roman" w:cs="Times New Roman"/>
          <w:sz w:val="20"/>
          <w:szCs w:val="20"/>
        </w:rPr>
        <w:t>Professional Presentations</w:t>
      </w:r>
    </w:p>
    <w:p w14:paraId="612896CE" w14:textId="77777777" w:rsidR="00EF1BE8" w:rsidRPr="002C0C08" w:rsidRDefault="00EF1BE8" w:rsidP="006B3811">
      <w:pPr>
        <w:pStyle w:val="BodyText"/>
        <w:rPr>
          <w:b/>
          <w:i/>
          <w:sz w:val="20"/>
          <w:szCs w:val="20"/>
        </w:rPr>
      </w:pPr>
    </w:p>
    <w:p w14:paraId="6D2E4DE6" w14:textId="77777777" w:rsidR="00EF1BE8" w:rsidRPr="002C0C08" w:rsidRDefault="00342AB6" w:rsidP="006B3811">
      <w:pPr>
        <w:pStyle w:val="BodyText"/>
        <w:ind w:left="248" w:right="432"/>
        <w:jc w:val="both"/>
        <w:rPr>
          <w:sz w:val="20"/>
          <w:szCs w:val="20"/>
        </w:rPr>
      </w:pPr>
      <w:r w:rsidRPr="002C0C08">
        <w:rPr>
          <w:sz w:val="20"/>
          <w:szCs w:val="20"/>
        </w:rPr>
        <w:t>Invited presentations reflect a national and/or international reputation and are thus a useful indicator of professional stature. However, this requires the presentations to be other than local, and other than at places where the candidate has studied, been employed, or been interviewing for a position. An explanation of the circumstances surrounding invited presentations is useful in establishing their significance.</w:t>
      </w:r>
    </w:p>
    <w:p w14:paraId="246F746E" w14:textId="77777777" w:rsidR="00EF1BE8" w:rsidRPr="002C0C08" w:rsidRDefault="00EF1BE8" w:rsidP="00540549">
      <w:pPr>
        <w:pStyle w:val="BodyText"/>
        <w:rPr>
          <w:sz w:val="20"/>
          <w:szCs w:val="20"/>
        </w:rPr>
      </w:pPr>
    </w:p>
    <w:p w14:paraId="62D26DCF" w14:textId="77777777" w:rsidR="00EF1BE8" w:rsidRPr="002C0C08" w:rsidRDefault="00342AB6" w:rsidP="006B3811">
      <w:pPr>
        <w:pStyle w:val="BodyText"/>
        <w:ind w:left="247" w:right="399" w:firstLine="1"/>
        <w:jc w:val="both"/>
        <w:rPr>
          <w:sz w:val="20"/>
          <w:szCs w:val="20"/>
        </w:rPr>
      </w:pPr>
      <w:r w:rsidRPr="002C0C08">
        <w:rPr>
          <w:sz w:val="20"/>
          <w:szCs w:val="20"/>
        </w:rPr>
        <w:t>Presentations at meetings (such as conferences, workshops, and institutes) are useful, particularly insofar as they are an important means by which to disseminate information and establish a professional reputation. In some disciplines, papers submitted to meetings generally do not go through the same refereeing process as papers submitted to quality journals; in those disciplines the criterion for acceptance is generally quite different. In fact, in many such cases only summaries are required for review. Should the situation be different, either due to accepted practices of a discipline or if a case can be made for a different weighting, such publications should be treated differently and this should be clearly indicated and explained. Presentations accepted by abstract are generally not of great significance. Should the situation be different, it should be clearly indicated and explained.</w:t>
      </w:r>
    </w:p>
    <w:p w14:paraId="3DCB93D6" w14:textId="77777777" w:rsidR="00EF1BE8" w:rsidRPr="002C0C08" w:rsidRDefault="00EF1BE8" w:rsidP="00540549">
      <w:pPr>
        <w:pStyle w:val="BodyText"/>
        <w:rPr>
          <w:sz w:val="20"/>
          <w:szCs w:val="20"/>
        </w:rPr>
      </w:pPr>
    </w:p>
    <w:p w14:paraId="45F35953" w14:textId="77777777" w:rsidR="00EF1BE8" w:rsidRPr="002C0C08" w:rsidRDefault="00342AB6" w:rsidP="00540549">
      <w:pPr>
        <w:pStyle w:val="Heading4"/>
        <w:numPr>
          <w:ilvl w:val="1"/>
          <w:numId w:val="11"/>
        </w:numPr>
        <w:tabs>
          <w:tab w:val="left" w:pos="877"/>
          <w:tab w:val="left" w:pos="878"/>
        </w:tabs>
        <w:ind w:left="877" w:hanging="721"/>
        <w:rPr>
          <w:rFonts w:ascii="Times New Roman" w:hAnsi="Times New Roman" w:cs="Times New Roman"/>
          <w:i w:val="0"/>
          <w:sz w:val="20"/>
          <w:szCs w:val="20"/>
        </w:rPr>
      </w:pPr>
      <w:bookmarkStart w:id="16" w:name="4._Grants_and_Contracts"/>
      <w:bookmarkEnd w:id="16"/>
      <w:r w:rsidRPr="002C0C08">
        <w:rPr>
          <w:rFonts w:ascii="Times New Roman" w:hAnsi="Times New Roman" w:cs="Times New Roman"/>
          <w:sz w:val="20"/>
          <w:szCs w:val="20"/>
        </w:rPr>
        <w:t>Grants and Contracts</w:t>
      </w:r>
    </w:p>
    <w:p w14:paraId="23B6A42A" w14:textId="77777777" w:rsidR="00EF1BE8" w:rsidRPr="002C0C08" w:rsidRDefault="00EF1BE8" w:rsidP="006B3811">
      <w:pPr>
        <w:pStyle w:val="BodyText"/>
        <w:rPr>
          <w:b/>
          <w:i/>
          <w:sz w:val="20"/>
          <w:szCs w:val="20"/>
        </w:rPr>
      </w:pPr>
    </w:p>
    <w:p w14:paraId="0BE0648E" w14:textId="44B1BFB7" w:rsidR="00EF1BE8" w:rsidRPr="002C0C08" w:rsidRDefault="00342AB6" w:rsidP="006B3811">
      <w:pPr>
        <w:pStyle w:val="BodyText"/>
        <w:ind w:left="247" w:right="385" w:firstLine="1"/>
        <w:jc w:val="both"/>
        <w:rPr>
          <w:sz w:val="20"/>
          <w:szCs w:val="20"/>
        </w:rPr>
      </w:pPr>
      <w:r w:rsidRPr="002C0C08">
        <w:rPr>
          <w:sz w:val="20"/>
          <w:szCs w:val="20"/>
        </w:rPr>
        <w:t xml:space="preserve">External grants and contracts are extremely important in furthering the teaching, research, and/or service of the faculty member and establishing the professional reputation of the faculty member and the School of Science. In almost all cases, external funding facilitates the research enterprise with positive consequences on the quality and quantity of work, the efficacy of student training, and ability to disseminate the results of our work. Insofar as external grants and contracts require evaluation of work that has been done and work that is to be done, one of the best ways to establish that the candidate has established a national and/or international reputation in teaching, research, and/or service is through the acquisition of an external grant or contract. On the other hand, the significance of a grant or contract is also important: a grant or contract that is scholarly with conceptual and intellectual content is more significant than one that is simply routine and pedestrian. Thus it is important to qualify the intellectual content and significance of external grants and contracts. For a grant with more than one principal investigator, the specific contributions of the candidate and </w:t>
      </w:r>
      <w:r w:rsidR="00C23F1A" w:rsidRPr="002C0C08">
        <w:rPr>
          <w:sz w:val="20"/>
          <w:szCs w:val="20"/>
        </w:rPr>
        <w:t>their</w:t>
      </w:r>
      <w:r w:rsidRPr="002C0C08">
        <w:rPr>
          <w:sz w:val="20"/>
          <w:szCs w:val="20"/>
        </w:rPr>
        <w:t xml:space="preserve"> role should be described. It is strongly advised that supplemental letters from external collaborators should clarify the contributions and role of the</w:t>
      </w:r>
      <w:r w:rsidR="005D50AF" w:rsidRPr="002C0C08">
        <w:rPr>
          <w:sz w:val="20"/>
          <w:szCs w:val="20"/>
        </w:rPr>
        <w:t xml:space="preserve"> </w:t>
      </w:r>
      <w:r w:rsidRPr="002C0C08">
        <w:rPr>
          <w:sz w:val="20"/>
          <w:szCs w:val="20"/>
        </w:rPr>
        <w:t>candidate. Grants are a means to an end, not an end to themselves. Although grants are very important evidence of scholarship, their specific weight as an evaluation criterion varies between and within disciplines. Grants and contracts are more difficult to obtain in some fields than in others. Whether or not grant and contract support have been obtained, one of the most important ingredients in obtaining external grants and contracts is perseverance. A history of application and positive referee comments demonstrates such perseverance.</w:t>
      </w:r>
    </w:p>
    <w:p w14:paraId="3A7E5A87" w14:textId="77777777" w:rsidR="00EF1BE8" w:rsidRPr="002C0C08" w:rsidRDefault="00EF1BE8" w:rsidP="006B3811">
      <w:pPr>
        <w:pStyle w:val="BodyText"/>
        <w:rPr>
          <w:sz w:val="20"/>
          <w:szCs w:val="20"/>
        </w:rPr>
      </w:pPr>
    </w:p>
    <w:p w14:paraId="1C63CDB2" w14:textId="4E0A03D6" w:rsidR="00EF1BE8" w:rsidRPr="002C0C08" w:rsidRDefault="00342AB6" w:rsidP="006B3811">
      <w:pPr>
        <w:pStyle w:val="BodyText"/>
        <w:ind w:left="247" w:right="310" w:firstLine="1"/>
        <w:jc w:val="both"/>
        <w:rPr>
          <w:sz w:val="20"/>
          <w:szCs w:val="20"/>
        </w:rPr>
      </w:pPr>
      <w:r w:rsidRPr="002C0C08">
        <w:rPr>
          <w:sz w:val="20"/>
          <w:szCs w:val="20"/>
        </w:rPr>
        <w:t xml:space="preserve">While internal grants (grants supported by Indiana University and/or </w:t>
      </w:r>
      <w:r w:rsidR="00B8385B" w:rsidRPr="002C0C08">
        <w:rPr>
          <w:sz w:val="20"/>
          <w:szCs w:val="20"/>
        </w:rPr>
        <w:t>Indiana University Indianapolis</w:t>
      </w:r>
      <w:r w:rsidRPr="002C0C08">
        <w:rPr>
          <w:sz w:val="20"/>
          <w:szCs w:val="20"/>
        </w:rPr>
        <w:t>) are useful, they should not be viewed as an end in themselves. Indeed, internal grants are generally awarded so that investigators can write external grant proposals, and a faculty member who has been awarded an internal grant is generally expected to produce a proposal or other similar product to an external agency. Citation of an internal grant thus requires not only evaluation of the internal grant, but also reference to the resulting proposal or product, and referee comments if the resulting proposal or product was not funded.</w:t>
      </w:r>
    </w:p>
    <w:p w14:paraId="3BD6D5FE" w14:textId="77777777" w:rsidR="00EF1BE8" w:rsidRPr="002C0C08" w:rsidRDefault="00EF1BE8" w:rsidP="00540549">
      <w:pPr>
        <w:pStyle w:val="BodyText"/>
        <w:rPr>
          <w:sz w:val="20"/>
          <w:szCs w:val="20"/>
        </w:rPr>
      </w:pPr>
    </w:p>
    <w:p w14:paraId="3BDC512F" w14:textId="77777777" w:rsidR="00EF1BE8" w:rsidRPr="002C0C08" w:rsidRDefault="00342AB6" w:rsidP="00540549">
      <w:pPr>
        <w:pStyle w:val="Heading4"/>
        <w:numPr>
          <w:ilvl w:val="1"/>
          <w:numId w:val="11"/>
        </w:numPr>
        <w:tabs>
          <w:tab w:val="left" w:pos="968"/>
          <w:tab w:val="left" w:pos="969"/>
        </w:tabs>
        <w:ind w:left="968" w:hanging="850"/>
        <w:rPr>
          <w:rFonts w:ascii="Times New Roman" w:hAnsi="Times New Roman" w:cs="Times New Roman"/>
          <w:i w:val="0"/>
          <w:sz w:val="20"/>
          <w:szCs w:val="20"/>
        </w:rPr>
      </w:pPr>
      <w:bookmarkStart w:id="17" w:name="5._Collaborative_Scholarship"/>
      <w:bookmarkEnd w:id="17"/>
      <w:r w:rsidRPr="002C0C08">
        <w:rPr>
          <w:rFonts w:ascii="Times New Roman" w:hAnsi="Times New Roman" w:cs="Times New Roman"/>
          <w:sz w:val="20"/>
          <w:szCs w:val="20"/>
        </w:rPr>
        <w:t>Collaborative Scholarship</w:t>
      </w:r>
    </w:p>
    <w:p w14:paraId="0E233EBC" w14:textId="77777777" w:rsidR="00EF1BE8" w:rsidRPr="002C0C08" w:rsidRDefault="00EF1BE8" w:rsidP="006B3811">
      <w:pPr>
        <w:pStyle w:val="BodyText"/>
        <w:rPr>
          <w:b/>
          <w:i/>
          <w:sz w:val="20"/>
          <w:szCs w:val="20"/>
        </w:rPr>
      </w:pPr>
    </w:p>
    <w:p w14:paraId="792A70C9" w14:textId="77777777" w:rsidR="00EF1BE8" w:rsidRPr="002C0C08" w:rsidRDefault="00342AB6" w:rsidP="006B3811">
      <w:pPr>
        <w:pStyle w:val="BodyText"/>
        <w:ind w:left="226" w:right="388"/>
        <w:jc w:val="both"/>
        <w:rPr>
          <w:sz w:val="20"/>
          <w:szCs w:val="20"/>
        </w:rPr>
      </w:pPr>
      <w:r w:rsidRPr="002C0C08">
        <w:rPr>
          <w:sz w:val="20"/>
          <w:szCs w:val="20"/>
        </w:rPr>
        <w:t xml:space="preserve">The School of Science tenures and promotes individuals, not research projects. From that perspective, documentation and recognition of the development of effective and significant collaborations by a candidate, where appropriate, is an important component of the tenure and promotion review process. Collaborative </w:t>
      </w:r>
      <w:r w:rsidRPr="002C0C08">
        <w:rPr>
          <w:sz w:val="20"/>
          <w:szCs w:val="20"/>
        </w:rPr>
        <w:lastRenderedPageBreak/>
        <w:t>efforts are essential in the modern era of research and scholarship in the sciences, and the competitive success of individual faculty may often depend on their ability to engage in collaborative efforts. The School of Science not only recognizes the importance of collaborative creative/scholarly activity (e.g., combined grants, co-authored publications, jointly-created products, etc.) but also strongly encourages such activities whenever they are relevant. In cases of collaborative activity, the candidate should carefully document their role and specific contributions to the collaborations, how their contributions are essential to the ongoing success of the collaborative effort, and how such collaborations fit into and/or enhance the candidate’s research career/plans. For example, the candidate may highlight the extent to which their role and expertise directly contributed to critical progress/results over the course of the collaborative project, or provided a necessary function that was essential to the success of the collaborative project. In some disciplinary traditions or team approaches, productive scholarship may emerge from group processes characterized more by shared intellectual or conceptual engagement than by identifiable complementary individual contributions. If this is the case, the candidate should clearly indicate such scenarios. The documentation of collaborative achievements can be part of the narrative of the candidate's statement and/or it can be included in the supporting evidence in the section of their chosen Area of Excellence. If collaborative work is an important aspect of the candidate’s scholarly activity, the candidate is encouraged to, but not required to, solicit and include letters from key collaborators as part of the supporting evidence in the Area of Excellence section; those letters should describe, from the collaborator’s perspective, the candidate’s essential role and contributions to the joint project(s).</w:t>
      </w:r>
    </w:p>
    <w:p w14:paraId="6C35BB97" w14:textId="77777777" w:rsidR="00EF1BE8" w:rsidRPr="002C0C08" w:rsidRDefault="00EF1BE8" w:rsidP="006B3811">
      <w:pPr>
        <w:pStyle w:val="BodyText"/>
        <w:rPr>
          <w:sz w:val="20"/>
          <w:szCs w:val="20"/>
        </w:rPr>
      </w:pPr>
    </w:p>
    <w:p w14:paraId="47848E34" w14:textId="77777777" w:rsidR="00D52B76" w:rsidRPr="002C0C08" w:rsidRDefault="00D52B76" w:rsidP="001D7468">
      <w:pPr>
        <w:pStyle w:val="BodyText"/>
        <w:ind w:left="206" w:right="388" w:firstLine="3"/>
        <w:jc w:val="both"/>
        <w:rPr>
          <w:sz w:val="20"/>
          <w:szCs w:val="20"/>
        </w:rPr>
      </w:pPr>
      <w:bookmarkStart w:id="18" w:name="6._Other_Forms_of_Scholarship"/>
      <w:bookmarkEnd w:id="18"/>
    </w:p>
    <w:p w14:paraId="68C53C17" w14:textId="77777777" w:rsidR="00894AFF" w:rsidRPr="002C0C08" w:rsidRDefault="00D52B76" w:rsidP="00894AFF">
      <w:pPr>
        <w:pStyle w:val="paragraph"/>
        <w:numPr>
          <w:ilvl w:val="0"/>
          <w:numId w:val="12"/>
        </w:numPr>
        <w:spacing w:before="0" w:beforeAutospacing="0" w:after="0" w:afterAutospacing="0"/>
        <w:ind w:left="270" w:firstLine="0"/>
        <w:textAlignment w:val="baseline"/>
        <w:rPr>
          <w:rStyle w:val="eop"/>
          <w:b/>
          <w:bCs/>
          <w:sz w:val="20"/>
          <w:szCs w:val="20"/>
        </w:rPr>
      </w:pPr>
      <w:r w:rsidRPr="002C0C08">
        <w:rPr>
          <w:rStyle w:val="normaltextrun"/>
          <w:b/>
          <w:bCs/>
          <w:i/>
          <w:iCs/>
          <w:sz w:val="20"/>
          <w:szCs w:val="20"/>
        </w:rPr>
        <w:t>Other Forms of Scholarship and Innovation. </w:t>
      </w:r>
      <w:r w:rsidRPr="002C0C08">
        <w:rPr>
          <w:rStyle w:val="eop"/>
          <w:b/>
          <w:bCs/>
          <w:sz w:val="20"/>
          <w:szCs w:val="20"/>
        </w:rPr>
        <w:t> </w:t>
      </w:r>
      <w:r w:rsidR="00894AFF" w:rsidRPr="002C0C08">
        <w:rPr>
          <w:rStyle w:val="eop"/>
          <w:b/>
          <w:bCs/>
          <w:sz w:val="20"/>
          <w:szCs w:val="20"/>
        </w:rPr>
        <w:br/>
      </w:r>
    </w:p>
    <w:p w14:paraId="57285843" w14:textId="3091E9DB" w:rsidR="00894AFF" w:rsidRPr="002C0C08" w:rsidRDefault="00894AFF" w:rsidP="00894AFF">
      <w:pPr>
        <w:pStyle w:val="paragraph"/>
        <w:spacing w:before="0" w:beforeAutospacing="0" w:after="0" w:afterAutospacing="0"/>
        <w:ind w:left="270"/>
        <w:textAlignment w:val="baseline"/>
        <w:rPr>
          <w:b/>
          <w:bCs/>
          <w:sz w:val="20"/>
          <w:szCs w:val="20"/>
        </w:rPr>
      </w:pPr>
      <w:r w:rsidRPr="002C0C08">
        <w:rPr>
          <w:rStyle w:val="normaltextrun"/>
          <w:sz w:val="20"/>
          <w:szCs w:val="20"/>
        </w:rPr>
        <w:t xml:space="preserve">The School of Science, as the University at large, values an inclusive view of scholarship in the recognition that knowledge is acquired and advanced through discovery, integration, application, and teaching. Given this perspective, the School’s promotion and tenure reviews of Scholarship and Creative Activities may recognize original research contributions beyond publications, professional presentations at meetings, and grants and contracts. Examples of such contributions include integrative and applied forms of scholarship and entrepreneurial innovations that may involve cross-cutting collaborations with business and community partners, including software development, translational research, commercialization activities, and patents. Whenever possible, such work must be evaluated by experts in the field as the quality, significance, and intellectual content of the work must be established. Innovative work is more significant than work that is routine and which simply extends the work of others. It is important to identify the ultimate importance of the candidate’s scholarship and creative activity </w:t>
      </w:r>
      <w:r w:rsidRPr="002C0C08">
        <w:rPr>
          <w:color w:val="000000"/>
          <w:sz w:val="20"/>
          <w:szCs w:val="20"/>
        </w:rPr>
        <w:t>including demonstrated impact on the field of expertise, the university and our students, and/or our communities.</w:t>
      </w:r>
    </w:p>
    <w:p w14:paraId="4198FCCC" w14:textId="0853016E" w:rsidR="001910C4" w:rsidRPr="002C0C08" w:rsidRDefault="00894AFF" w:rsidP="00894AFF">
      <w:pPr>
        <w:pStyle w:val="paragraph"/>
        <w:spacing w:before="0" w:beforeAutospacing="0" w:after="0" w:afterAutospacing="0"/>
        <w:ind w:left="270"/>
        <w:textAlignment w:val="baseline"/>
        <w:rPr>
          <w:rStyle w:val="eop"/>
          <w:b/>
          <w:bCs/>
          <w:sz w:val="20"/>
          <w:szCs w:val="20"/>
        </w:rPr>
      </w:pPr>
      <w:r w:rsidRPr="002C0C08">
        <w:rPr>
          <w:rStyle w:val="eop"/>
          <w:b/>
          <w:bCs/>
          <w:sz w:val="20"/>
          <w:szCs w:val="20"/>
        </w:rPr>
        <w:br/>
      </w:r>
    </w:p>
    <w:p w14:paraId="236FE35D" w14:textId="2BCA0240" w:rsidR="00894AFF" w:rsidRPr="002C0C08" w:rsidRDefault="00894AFF" w:rsidP="00894AFF">
      <w:pPr>
        <w:pStyle w:val="paragraph"/>
        <w:numPr>
          <w:ilvl w:val="0"/>
          <w:numId w:val="12"/>
        </w:numPr>
        <w:spacing w:before="0" w:beforeAutospacing="0" w:after="0" w:afterAutospacing="0"/>
        <w:ind w:left="270" w:firstLine="0"/>
        <w:textAlignment w:val="baseline"/>
        <w:rPr>
          <w:b/>
          <w:bCs/>
          <w:color w:val="000000" w:themeColor="text1"/>
          <w:sz w:val="20"/>
          <w:szCs w:val="20"/>
        </w:rPr>
      </w:pPr>
      <w:r w:rsidRPr="002C0C08">
        <w:rPr>
          <w:b/>
          <w:bCs/>
          <w:i/>
          <w:iCs/>
          <w:color w:val="000000" w:themeColor="text1"/>
          <w:sz w:val="20"/>
          <w:szCs w:val="20"/>
        </w:rPr>
        <w:t>Interpretation and Application of the Criteria for Evaluation</w:t>
      </w:r>
    </w:p>
    <w:p w14:paraId="6A0D69C0" w14:textId="77777777" w:rsidR="00EF1BE8" w:rsidRPr="002C0C08" w:rsidRDefault="00EF1BE8" w:rsidP="008E3E71">
      <w:pPr>
        <w:pStyle w:val="BodyText"/>
        <w:rPr>
          <w:b/>
          <w:i/>
          <w:sz w:val="20"/>
          <w:szCs w:val="20"/>
        </w:rPr>
      </w:pPr>
    </w:p>
    <w:p w14:paraId="1F9ED7EC" w14:textId="77777777" w:rsidR="00EF1BE8" w:rsidRPr="002C0C08" w:rsidRDefault="00342AB6" w:rsidP="006B3811">
      <w:pPr>
        <w:ind w:left="247" w:right="402" w:hanging="2"/>
        <w:jc w:val="both"/>
        <w:rPr>
          <w:sz w:val="20"/>
          <w:szCs w:val="20"/>
        </w:rPr>
      </w:pPr>
      <w:r w:rsidRPr="002C0C08">
        <w:rPr>
          <w:sz w:val="20"/>
          <w:szCs w:val="20"/>
        </w:rPr>
        <w:t xml:space="preserve">The general criteria for evaluation of achievements in teaching, research and service are presented in sections F, G and H. </w:t>
      </w:r>
      <w:r w:rsidRPr="002C0C08">
        <w:rPr>
          <w:b/>
          <w:sz w:val="20"/>
          <w:szCs w:val="20"/>
        </w:rPr>
        <w:t>These are not checklists; some criteria are more important than others, and differences in emphasis may depend on the discipline</w:t>
      </w:r>
      <w:r w:rsidRPr="002C0C08">
        <w:rPr>
          <w:sz w:val="20"/>
          <w:szCs w:val="20"/>
        </w:rPr>
        <w:t>. Failure to satisfy a single criterion does not necessarily mean that the performance standard has not been met. Departments are advised to provide guidelines describing the relative weights attached to each of the criteria and any additional, specific evidence of performance which is common to the candidate's area of excellence.</w:t>
      </w:r>
    </w:p>
    <w:p w14:paraId="2BCE452A" w14:textId="77777777" w:rsidR="00EF1BE8" w:rsidRPr="002C0C08" w:rsidRDefault="00EF1BE8" w:rsidP="006B3811">
      <w:pPr>
        <w:pStyle w:val="BodyText"/>
        <w:rPr>
          <w:sz w:val="20"/>
          <w:szCs w:val="20"/>
        </w:rPr>
      </w:pPr>
    </w:p>
    <w:p w14:paraId="23401A3A" w14:textId="77777777" w:rsidR="00EF1BE8" w:rsidRPr="002C0C08" w:rsidRDefault="00342AB6" w:rsidP="00540549">
      <w:pPr>
        <w:pStyle w:val="Heading1"/>
        <w:numPr>
          <w:ilvl w:val="0"/>
          <w:numId w:val="11"/>
        </w:numPr>
        <w:tabs>
          <w:tab w:val="left" w:pos="911"/>
          <w:tab w:val="left" w:pos="912"/>
        </w:tabs>
        <w:ind w:left="911" w:hanging="793"/>
        <w:rPr>
          <w:sz w:val="20"/>
          <w:szCs w:val="20"/>
        </w:rPr>
      </w:pPr>
      <w:bookmarkStart w:id="19" w:name="F._CRITERIA_FOR_TEACHING"/>
      <w:bookmarkEnd w:id="19"/>
      <w:r w:rsidRPr="002C0C08">
        <w:rPr>
          <w:sz w:val="20"/>
          <w:szCs w:val="20"/>
        </w:rPr>
        <w:t>CRITERIA FOR TEACHING</w:t>
      </w:r>
    </w:p>
    <w:p w14:paraId="6D3ADEDC" w14:textId="77777777" w:rsidR="00EF1BE8" w:rsidRPr="002C0C08" w:rsidRDefault="00EF1BE8" w:rsidP="006B3811">
      <w:pPr>
        <w:pStyle w:val="BodyText"/>
        <w:rPr>
          <w:b/>
          <w:sz w:val="20"/>
          <w:szCs w:val="20"/>
        </w:rPr>
      </w:pPr>
    </w:p>
    <w:p w14:paraId="06849C2E" w14:textId="77777777" w:rsidR="00EF1BE8" w:rsidRPr="002C0C08" w:rsidRDefault="00342AB6" w:rsidP="006B3811">
      <w:pPr>
        <w:pStyle w:val="BodyText"/>
        <w:ind w:left="248" w:right="312"/>
        <w:jc w:val="both"/>
        <w:rPr>
          <w:sz w:val="20"/>
          <w:szCs w:val="20"/>
        </w:rPr>
      </w:pPr>
      <w:r w:rsidRPr="002C0C08">
        <w:rPr>
          <w:sz w:val="20"/>
          <w:szCs w:val="20"/>
        </w:rPr>
        <w:t xml:space="preserve">In higher education, </w:t>
      </w:r>
      <w:r w:rsidRPr="002C0C08">
        <w:rPr>
          <w:b/>
          <w:sz w:val="20"/>
          <w:szCs w:val="20"/>
        </w:rPr>
        <w:t xml:space="preserve">Scholarly Teaching </w:t>
      </w:r>
      <w:r w:rsidRPr="002C0C08">
        <w:rPr>
          <w:sz w:val="20"/>
          <w:szCs w:val="20"/>
        </w:rPr>
        <w:t xml:space="preserve">can be broadly defined as consulting the literature related to teaching in one’s discipline, using and applying that scholarship in one’s courses, and consulting with peers and/or Centers for Teaching and Learning to improve teaching and learning. </w:t>
      </w:r>
      <w:r w:rsidRPr="002C0C08">
        <w:rPr>
          <w:b/>
          <w:sz w:val="20"/>
          <w:szCs w:val="20"/>
        </w:rPr>
        <w:t xml:space="preserve">The Scholarship of Teaching and Learning (SoTL) </w:t>
      </w:r>
      <w:r w:rsidRPr="002C0C08">
        <w:rPr>
          <w:sz w:val="20"/>
          <w:szCs w:val="20"/>
        </w:rPr>
        <w:t xml:space="preserve">can broadly be defined as asking questions related to student learning, conducting systematic inquiry related to teaching and learning, and making the results visible to a community through public dissemination and/or peer reviewed scholarship. </w:t>
      </w:r>
      <w:r w:rsidRPr="002C0C08">
        <w:rPr>
          <w:b/>
          <w:sz w:val="20"/>
          <w:szCs w:val="20"/>
        </w:rPr>
        <w:t xml:space="preserve">Discipline-Based Educational Research (DBER) </w:t>
      </w:r>
      <w:r w:rsidRPr="002C0C08">
        <w:rPr>
          <w:sz w:val="20"/>
          <w:szCs w:val="20"/>
        </w:rPr>
        <w:t>can be broadly defined as scholarly research into understanding how people learn the concepts, practices and ways of thinking in each of the various STEM disciplines. [</w:t>
      </w:r>
      <w:r w:rsidRPr="002C0C08">
        <w:rPr>
          <w:i/>
          <w:sz w:val="20"/>
          <w:szCs w:val="20"/>
        </w:rPr>
        <w:t>National Academy Press</w:t>
      </w:r>
      <w:r w:rsidRPr="002C0C08">
        <w:rPr>
          <w:sz w:val="20"/>
          <w:szCs w:val="20"/>
        </w:rPr>
        <w:t>]</w:t>
      </w:r>
    </w:p>
    <w:p w14:paraId="286846BC" w14:textId="77777777" w:rsidR="00EF1BE8" w:rsidRPr="002C0C08" w:rsidRDefault="00EF1BE8" w:rsidP="006B3811">
      <w:pPr>
        <w:pStyle w:val="BodyText"/>
        <w:rPr>
          <w:sz w:val="20"/>
          <w:szCs w:val="20"/>
        </w:rPr>
      </w:pPr>
    </w:p>
    <w:p w14:paraId="436E72B6" w14:textId="663AFAD7" w:rsidR="00EF1BE8" w:rsidRPr="002C0C08" w:rsidRDefault="00342AB6" w:rsidP="006B3811">
      <w:pPr>
        <w:pStyle w:val="BodyText"/>
        <w:ind w:left="247" w:right="313" w:firstLine="1"/>
        <w:jc w:val="both"/>
        <w:rPr>
          <w:sz w:val="20"/>
          <w:szCs w:val="20"/>
        </w:rPr>
      </w:pPr>
      <w:r w:rsidRPr="002C0C08">
        <w:rPr>
          <w:sz w:val="20"/>
          <w:szCs w:val="20"/>
        </w:rPr>
        <w:t xml:space="preserve">While recognizing that teaching is, in part, an art — that excellent teaching is not totally quantifiable nor can </w:t>
      </w:r>
      <w:r w:rsidRPr="002C0C08">
        <w:rPr>
          <w:sz w:val="20"/>
          <w:szCs w:val="20"/>
        </w:rPr>
        <w:lastRenderedPageBreak/>
        <w:t xml:space="preserve">it be defined narrowly — the School of Science has established the following criteria for teaching, which uses the abovementioned and widely accepted </w:t>
      </w:r>
      <w:r w:rsidR="00F21DCA">
        <w:rPr>
          <w:sz w:val="20"/>
          <w:szCs w:val="20"/>
        </w:rPr>
        <w:t>definit</w:t>
      </w:r>
      <w:r w:rsidRPr="002C0C08">
        <w:rPr>
          <w:sz w:val="20"/>
          <w:szCs w:val="20"/>
        </w:rPr>
        <w:t>ions</w:t>
      </w:r>
      <w:r w:rsidR="00F21DCA" w:rsidRPr="00F21DCA">
        <w:rPr>
          <w:sz w:val="20"/>
          <w:szCs w:val="20"/>
          <w:vertAlign w:val="superscript"/>
        </w:rPr>
        <w:t>4,5</w:t>
      </w:r>
      <w:r w:rsidRPr="002C0C08">
        <w:rPr>
          <w:sz w:val="20"/>
          <w:szCs w:val="20"/>
        </w:rPr>
        <w:t>, in conjunction with the promotion and tenure process. The relative weights of these criteria vary according to disciplinary norms described in departmental guidelines.</w:t>
      </w:r>
    </w:p>
    <w:p w14:paraId="7F3396D7" w14:textId="77777777" w:rsidR="00EF1BE8" w:rsidRPr="002C0C08" w:rsidRDefault="00EF1BE8" w:rsidP="006B3811">
      <w:pPr>
        <w:pStyle w:val="BodyText"/>
        <w:rPr>
          <w:sz w:val="20"/>
          <w:szCs w:val="20"/>
        </w:rPr>
      </w:pPr>
    </w:p>
    <w:p w14:paraId="792EB76E" w14:textId="77777777" w:rsidR="00EF1BE8" w:rsidRPr="002C0C08" w:rsidRDefault="00342AB6" w:rsidP="00540549">
      <w:pPr>
        <w:pStyle w:val="Heading4"/>
        <w:numPr>
          <w:ilvl w:val="1"/>
          <w:numId w:val="11"/>
        </w:numPr>
        <w:tabs>
          <w:tab w:val="left" w:pos="968"/>
          <w:tab w:val="left" w:pos="969"/>
        </w:tabs>
        <w:ind w:left="968" w:hanging="721"/>
        <w:rPr>
          <w:rFonts w:ascii="Times New Roman" w:hAnsi="Times New Roman" w:cs="Times New Roman"/>
          <w:sz w:val="20"/>
          <w:szCs w:val="20"/>
        </w:rPr>
      </w:pPr>
      <w:r w:rsidRPr="002C0C08">
        <w:rPr>
          <w:rFonts w:ascii="Times New Roman" w:hAnsi="Times New Roman" w:cs="Times New Roman"/>
          <w:sz w:val="20"/>
          <w:szCs w:val="20"/>
        </w:rPr>
        <w:t>Satisfactory Performance</w:t>
      </w:r>
    </w:p>
    <w:p w14:paraId="103FE496" w14:textId="77777777" w:rsidR="00EF1BE8" w:rsidRPr="002C0C08" w:rsidRDefault="00342AB6" w:rsidP="00357075">
      <w:pPr>
        <w:ind w:left="968"/>
        <w:rPr>
          <w:sz w:val="20"/>
          <w:szCs w:val="20"/>
        </w:rPr>
      </w:pPr>
      <w:r w:rsidRPr="002C0C08">
        <w:rPr>
          <w:i/>
          <w:sz w:val="20"/>
          <w:szCs w:val="20"/>
          <w:u w:val="single"/>
        </w:rPr>
        <w:t>Satisfactory performance</w:t>
      </w:r>
      <w:r w:rsidRPr="002C0C08">
        <w:rPr>
          <w:i/>
          <w:sz w:val="20"/>
          <w:szCs w:val="20"/>
        </w:rPr>
        <w:t xml:space="preserve"> is evidenced by the following criteria. </w:t>
      </w:r>
      <w:r w:rsidRPr="002C0C08">
        <w:rPr>
          <w:b/>
          <w:i/>
          <w:sz w:val="20"/>
          <w:szCs w:val="20"/>
        </w:rPr>
        <w:t>Evidence supporting the criteria should be presented, but these are not a checklist; some criteria are more important than others, and differences in emphasis may depend on the discipline</w:t>
      </w:r>
      <w:r w:rsidRPr="002C0C08">
        <w:rPr>
          <w:sz w:val="20"/>
          <w:szCs w:val="20"/>
        </w:rPr>
        <w:t>:</w:t>
      </w:r>
    </w:p>
    <w:p w14:paraId="39666E7C" w14:textId="77777777" w:rsidR="001910C4" w:rsidRPr="002C0C08" w:rsidRDefault="00685C3F" w:rsidP="001910C4">
      <w:pPr>
        <w:pStyle w:val="ListParagraph"/>
        <w:numPr>
          <w:ilvl w:val="2"/>
          <w:numId w:val="11"/>
        </w:numPr>
        <w:tabs>
          <w:tab w:val="left" w:pos="1329"/>
        </w:tabs>
        <w:ind w:left="1328" w:right="296" w:hanging="360"/>
        <w:jc w:val="both"/>
        <w:rPr>
          <w:sz w:val="20"/>
          <w:szCs w:val="20"/>
        </w:rPr>
      </w:pPr>
      <w:r w:rsidRPr="002C0C08">
        <w:rPr>
          <w:rStyle w:val="normaltextrun"/>
          <w:color w:val="000000" w:themeColor="text1"/>
          <w:sz w:val="20"/>
          <w:szCs w:val="20"/>
        </w:rPr>
        <w:t>Evidence of satisfactory instruction, mentoring, or supervision as evaluated by students. </w:t>
      </w:r>
      <w:r w:rsidRPr="002C0C08">
        <w:rPr>
          <w:color w:val="000000" w:themeColor="text1"/>
          <w:sz w:val="20"/>
          <w:szCs w:val="20"/>
        </w:rPr>
        <w:t xml:space="preserve"> </w:t>
      </w:r>
      <w:r w:rsidR="00342AB6" w:rsidRPr="002C0C08">
        <w:rPr>
          <w:sz w:val="20"/>
          <w:szCs w:val="20"/>
        </w:rPr>
        <w:t>(Some form of student satisfaction measurement is mandatory in every course taught by the candidate)</w:t>
      </w:r>
      <w:r w:rsidRPr="002C0C08">
        <w:rPr>
          <w:sz w:val="20"/>
          <w:szCs w:val="20"/>
        </w:rPr>
        <w:t>.</w:t>
      </w:r>
    </w:p>
    <w:p w14:paraId="22C06A6C" w14:textId="197D4B3B" w:rsidR="00EF1BE8" w:rsidRPr="002C0C08" w:rsidRDefault="00342AB6" w:rsidP="001910C4">
      <w:pPr>
        <w:pStyle w:val="ListParagraph"/>
        <w:numPr>
          <w:ilvl w:val="2"/>
          <w:numId w:val="11"/>
        </w:numPr>
        <w:tabs>
          <w:tab w:val="left" w:pos="1329"/>
        </w:tabs>
        <w:ind w:left="1328" w:right="296" w:hanging="360"/>
        <w:jc w:val="both"/>
        <w:rPr>
          <w:sz w:val="20"/>
          <w:szCs w:val="20"/>
        </w:rPr>
      </w:pPr>
      <w:r w:rsidRPr="002C0C08">
        <w:rPr>
          <w:sz w:val="20"/>
          <w:szCs w:val="20"/>
        </w:rPr>
        <w:t xml:space="preserve">Peer reviews documenting satisfactory teaching. For promotion to Associate Professor, at least two reviews must be completed during the evaluation period to document continued satisfactory teaching performance or improvement toward satisfactory teaching performance. At least one such peer review is recommended prior to the third-year review. For promotion to Full Professor, at least one review must be completed while in rank that documents continued satisfactory teaching performance. </w:t>
      </w:r>
      <w:r w:rsidR="001C6617" w:rsidRPr="002C0C08">
        <w:rPr>
          <w:sz w:val="20"/>
          <w:szCs w:val="20"/>
        </w:rPr>
        <w:t xml:space="preserve">Where a clinical faculty member’s role includes classroom teaching, evidence of teaching quality as evaluated by peers is required. For promotion to Associate Clinical Professor, at least two reviews must be completed while in rank to document continued satisfactory teaching performance or improvement toward satisfactory teaching performance. For promotion to Full Clinical Professor, at least one review must be completed while in rank that documents continued satisfactory teaching performance. </w:t>
      </w:r>
      <w:r w:rsidR="0051682C" w:rsidRPr="002C0C08">
        <w:rPr>
          <w:sz w:val="20"/>
          <w:szCs w:val="20"/>
        </w:rPr>
        <w:t xml:space="preserve">The Department </w:t>
      </w:r>
      <w:r w:rsidRPr="002C0C08">
        <w:rPr>
          <w:sz w:val="20"/>
          <w:szCs w:val="20"/>
        </w:rPr>
        <w:t>Chair and faculty member, together, will identify the course(s) to review, and an appropriate reviewer, considering factors such as reviewer expertise, potential conflicts for the candidate or reviewer, and consideration of internal (i.e., in the department) versus external (i.e., outside the department such as the Center for Teaching and Learning) faculty affiliation. The completed review, using the Classroom Observation Report, will be shared with the candidate and the Department Chair. The candidate will determine how best to represent the content of these peer reviews in the body of the dossier. However, copies of at least the minimum number of completed Classroom Observation Reports must be included in the appendix</w:t>
      </w:r>
      <w:r w:rsidR="001910C4" w:rsidRPr="002C0C08">
        <w:rPr>
          <w:sz w:val="20"/>
          <w:szCs w:val="20"/>
        </w:rPr>
        <w:t>.</w:t>
      </w:r>
    </w:p>
    <w:p w14:paraId="4ABF793D" w14:textId="77777777" w:rsidR="00EF1BE8" w:rsidRPr="002C0C08" w:rsidRDefault="00342AB6" w:rsidP="003C1ED6">
      <w:pPr>
        <w:pStyle w:val="ListParagraph"/>
        <w:numPr>
          <w:ilvl w:val="2"/>
          <w:numId w:val="11"/>
        </w:numPr>
        <w:tabs>
          <w:tab w:val="left" w:pos="1329"/>
        </w:tabs>
        <w:ind w:left="1328" w:right="1033" w:hanging="360"/>
        <w:jc w:val="both"/>
        <w:rPr>
          <w:sz w:val="20"/>
          <w:szCs w:val="20"/>
        </w:rPr>
      </w:pPr>
      <w:r w:rsidRPr="002C0C08">
        <w:rPr>
          <w:sz w:val="20"/>
          <w:szCs w:val="20"/>
        </w:rPr>
        <w:t>A record demonstrating that a reasonable teaching load and a fair share of the Department’s teaching responsibility has been carried.</w:t>
      </w:r>
    </w:p>
    <w:p w14:paraId="65D25D64" w14:textId="77777777" w:rsidR="001910C4" w:rsidRPr="002C0C08" w:rsidRDefault="00342AB6" w:rsidP="001910C4">
      <w:pPr>
        <w:pStyle w:val="ListParagraph"/>
        <w:numPr>
          <w:ilvl w:val="2"/>
          <w:numId w:val="11"/>
        </w:numPr>
        <w:tabs>
          <w:tab w:val="left" w:pos="1329"/>
        </w:tabs>
        <w:ind w:left="1328" w:right="342" w:hanging="360"/>
        <w:jc w:val="both"/>
        <w:rPr>
          <w:sz w:val="20"/>
          <w:szCs w:val="20"/>
        </w:rPr>
      </w:pPr>
      <w:r w:rsidRPr="002C0C08">
        <w:rPr>
          <w:sz w:val="20"/>
          <w:szCs w:val="20"/>
        </w:rPr>
        <w:t>A record demonstrating quality teaching. In addition to favorable peer evaluations of classroom performance, contributions to new course</w:t>
      </w:r>
      <w:r w:rsidR="00685C3F" w:rsidRPr="002C0C08">
        <w:rPr>
          <w:rStyle w:val="normaltextrun"/>
          <w:color w:val="000000" w:themeColor="text1"/>
          <w:sz w:val="20"/>
          <w:szCs w:val="20"/>
        </w:rPr>
        <w:t xml:space="preserve">, curriculum or practicum development </w:t>
      </w:r>
      <w:r w:rsidRPr="002C0C08">
        <w:rPr>
          <w:sz w:val="20"/>
          <w:szCs w:val="20"/>
        </w:rPr>
        <w:t>and improvement of course materials may be included.</w:t>
      </w:r>
    </w:p>
    <w:p w14:paraId="0A4201D0" w14:textId="5255AE9A" w:rsidR="00685C3F" w:rsidRPr="002C0C08" w:rsidRDefault="00685C3F" w:rsidP="001910C4">
      <w:pPr>
        <w:pStyle w:val="ListParagraph"/>
        <w:numPr>
          <w:ilvl w:val="2"/>
          <w:numId w:val="11"/>
        </w:numPr>
        <w:tabs>
          <w:tab w:val="left" w:pos="1329"/>
        </w:tabs>
        <w:ind w:left="1328" w:right="342" w:hanging="360"/>
        <w:jc w:val="both"/>
        <w:rPr>
          <w:sz w:val="20"/>
          <w:szCs w:val="20"/>
        </w:rPr>
      </w:pPr>
      <w:r w:rsidRPr="002C0C08">
        <w:rPr>
          <w:color w:val="000000"/>
          <w:sz w:val="20"/>
          <w:szCs w:val="20"/>
        </w:rPr>
        <w:t>Efforts to incorporate teaching practices that align with campus values of inclusivity, intellectual diversity, and equity to foster a learning environment that encourages broad participation from students of all backgrounds, including underrepresented and first-generation students. Appendix C provides guidance on teaching-related practices that support these values and promote a range of perspectives in the classroom.</w:t>
      </w:r>
    </w:p>
    <w:p w14:paraId="64483AB6" w14:textId="77777777" w:rsidR="00EF1BE8" w:rsidRPr="002C0C08" w:rsidRDefault="00EF1BE8" w:rsidP="00540549">
      <w:pPr>
        <w:pStyle w:val="BodyText"/>
        <w:rPr>
          <w:sz w:val="20"/>
          <w:szCs w:val="20"/>
        </w:rPr>
      </w:pPr>
    </w:p>
    <w:p w14:paraId="45A975DD" w14:textId="77777777" w:rsidR="00EF1BE8" w:rsidRPr="002C0C08" w:rsidRDefault="00342AB6" w:rsidP="006B3811">
      <w:pPr>
        <w:pStyle w:val="Heading4"/>
        <w:numPr>
          <w:ilvl w:val="1"/>
          <w:numId w:val="11"/>
        </w:numPr>
        <w:tabs>
          <w:tab w:val="left" w:pos="968"/>
          <w:tab w:val="left" w:pos="969"/>
        </w:tabs>
        <w:ind w:left="968" w:hanging="721"/>
        <w:rPr>
          <w:rFonts w:ascii="Times New Roman" w:hAnsi="Times New Roman" w:cs="Times New Roman"/>
          <w:sz w:val="20"/>
          <w:szCs w:val="20"/>
        </w:rPr>
      </w:pPr>
      <w:r w:rsidRPr="002C0C08">
        <w:rPr>
          <w:rFonts w:ascii="Times New Roman" w:hAnsi="Times New Roman" w:cs="Times New Roman"/>
          <w:sz w:val="20"/>
          <w:szCs w:val="20"/>
        </w:rPr>
        <w:t>Excellent Performance for Promotion to Senior Lecturer</w:t>
      </w:r>
    </w:p>
    <w:p w14:paraId="111B6858" w14:textId="77777777" w:rsidR="00EF1BE8" w:rsidRPr="002C0C08" w:rsidRDefault="00342AB6" w:rsidP="006B3811">
      <w:pPr>
        <w:pStyle w:val="BodyText"/>
        <w:ind w:left="968" w:right="137" w:hanging="1"/>
        <w:jc w:val="both"/>
        <w:rPr>
          <w:sz w:val="20"/>
          <w:szCs w:val="20"/>
        </w:rPr>
      </w:pPr>
      <w:r w:rsidRPr="002C0C08">
        <w:rPr>
          <w:sz w:val="20"/>
          <w:szCs w:val="20"/>
        </w:rPr>
        <w:t xml:space="preserve">Promotion to Senior Lecturer requires excellent performance in teaching, </w:t>
      </w:r>
      <w:r w:rsidRPr="002C0C08">
        <w:rPr>
          <w:b/>
          <w:sz w:val="20"/>
          <w:szCs w:val="20"/>
        </w:rPr>
        <w:t>t</w:t>
      </w:r>
      <w:r w:rsidRPr="002C0C08">
        <w:rPr>
          <w:sz w:val="20"/>
          <w:szCs w:val="20"/>
        </w:rPr>
        <w:t>ogether with at least satisfactory performance in service. Excellence in teaching can be expressed across multiple dimensions but includes a clearly demonstrated record of high quality, effective teaching and innovative course or curricular development. Emphasis is on the Lecturer’s development of scholarly teaching practices, informed by the literature concerning effective teaching and shaped through the Lecturer’s analysis of their teaching experience together with peer review of teaching and student satisfaction measurements. Expectations about the quantity of dissemination of scholarly products should be commensurate with the assigned teaching load of the Lecturer.</w:t>
      </w:r>
    </w:p>
    <w:p w14:paraId="637EAF44" w14:textId="77777777" w:rsidR="00EF1BE8" w:rsidRPr="002C0C08" w:rsidRDefault="00EF1BE8" w:rsidP="00540549">
      <w:pPr>
        <w:pStyle w:val="BodyText"/>
        <w:rPr>
          <w:sz w:val="20"/>
          <w:szCs w:val="20"/>
        </w:rPr>
      </w:pPr>
    </w:p>
    <w:p w14:paraId="0E169F7E" w14:textId="77777777" w:rsidR="00EF1BE8" w:rsidRPr="002C0C08" w:rsidRDefault="00342AB6" w:rsidP="00540549">
      <w:pPr>
        <w:ind w:left="1018" w:right="210"/>
        <w:rPr>
          <w:sz w:val="20"/>
          <w:szCs w:val="20"/>
        </w:rPr>
      </w:pPr>
      <w:r w:rsidRPr="002C0C08">
        <w:rPr>
          <w:i/>
          <w:sz w:val="20"/>
          <w:szCs w:val="20"/>
        </w:rPr>
        <w:t>E</w:t>
      </w:r>
      <w:r w:rsidRPr="002C0C08">
        <w:rPr>
          <w:i/>
          <w:sz w:val="20"/>
          <w:szCs w:val="20"/>
          <w:u w:val="single"/>
        </w:rPr>
        <w:t xml:space="preserve">xcellent performance in Teaching at all ranks </w:t>
      </w:r>
      <w:r w:rsidRPr="002C0C08">
        <w:rPr>
          <w:i/>
          <w:sz w:val="20"/>
          <w:szCs w:val="20"/>
        </w:rPr>
        <w:t xml:space="preserve">is evidenced by the following criteria (a- g). </w:t>
      </w:r>
      <w:r w:rsidRPr="002C0C08">
        <w:rPr>
          <w:b/>
          <w:i/>
          <w:sz w:val="20"/>
          <w:szCs w:val="20"/>
        </w:rPr>
        <w:t>Evidence supporting the criteria should be presented, but these are not a checklist; some criteria are more important than others, and differences in emphasis may depend on the discipline</w:t>
      </w:r>
      <w:r w:rsidRPr="002C0C08">
        <w:rPr>
          <w:sz w:val="20"/>
          <w:szCs w:val="20"/>
        </w:rPr>
        <w:t>:</w:t>
      </w:r>
    </w:p>
    <w:p w14:paraId="14F16BCF" w14:textId="77777777" w:rsidR="00EF1BE8" w:rsidRPr="002C0C08" w:rsidRDefault="00342AB6" w:rsidP="006B3811">
      <w:pPr>
        <w:pStyle w:val="ListParagraph"/>
        <w:numPr>
          <w:ilvl w:val="2"/>
          <w:numId w:val="11"/>
        </w:numPr>
        <w:tabs>
          <w:tab w:val="left" w:pos="1329"/>
        </w:tabs>
        <w:ind w:left="1328" w:right="135" w:hanging="361"/>
        <w:jc w:val="both"/>
        <w:rPr>
          <w:sz w:val="20"/>
          <w:szCs w:val="20"/>
        </w:rPr>
      </w:pPr>
      <w:r w:rsidRPr="002C0C08">
        <w:rPr>
          <w:sz w:val="20"/>
          <w:szCs w:val="20"/>
        </w:rPr>
        <w:t>Documentation that the candidate meets the teaching load designated by their department, as appropriate for their appointment.</w:t>
      </w:r>
    </w:p>
    <w:p w14:paraId="0CC19F2C" w14:textId="77777777" w:rsidR="00EF1BE8" w:rsidRPr="002C0C08" w:rsidRDefault="00342AB6" w:rsidP="006B3811">
      <w:pPr>
        <w:pStyle w:val="ListParagraph"/>
        <w:numPr>
          <w:ilvl w:val="2"/>
          <w:numId w:val="11"/>
        </w:numPr>
        <w:tabs>
          <w:tab w:val="left" w:pos="1329"/>
        </w:tabs>
        <w:ind w:left="1328" w:right="135" w:hanging="360"/>
        <w:jc w:val="both"/>
        <w:rPr>
          <w:sz w:val="20"/>
          <w:szCs w:val="20"/>
        </w:rPr>
      </w:pPr>
      <w:r w:rsidRPr="002C0C08">
        <w:rPr>
          <w:sz w:val="20"/>
          <w:szCs w:val="20"/>
        </w:rPr>
        <w:t xml:space="preserve">Summaries and analyses of student evaluation of teaching data for each course taught in rank, provided in sufficient detail to allow determination of the students’ perception of the candidate’s </w:t>
      </w:r>
      <w:r w:rsidRPr="002C0C08">
        <w:rPr>
          <w:sz w:val="20"/>
          <w:szCs w:val="20"/>
        </w:rPr>
        <w:lastRenderedPageBreak/>
        <w:t>effectiveness as a classroom teacher.</w:t>
      </w:r>
    </w:p>
    <w:p w14:paraId="7B040C95" w14:textId="77777777" w:rsidR="00EF1BE8" w:rsidRPr="002C0C08" w:rsidRDefault="00342AB6" w:rsidP="006B3811">
      <w:pPr>
        <w:pStyle w:val="ListParagraph"/>
        <w:numPr>
          <w:ilvl w:val="2"/>
          <w:numId w:val="11"/>
        </w:numPr>
        <w:tabs>
          <w:tab w:val="left" w:pos="1329"/>
        </w:tabs>
        <w:ind w:left="1328" w:right="136" w:hanging="361"/>
        <w:jc w:val="both"/>
        <w:rPr>
          <w:sz w:val="20"/>
          <w:szCs w:val="20"/>
        </w:rPr>
      </w:pPr>
      <w:r w:rsidRPr="002C0C08">
        <w:rPr>
          <w:sz w:val="20"/>
          <w:szCs w:val="20"/>
        </w:rPr>
        <w:t>Provision of rigorous peer evaluations, following the prevalent policies and procedures at the school or department level, and responses to peer review to document the candidate’s continuing efforts to improve in teaching.</w:t>
      </w:r>
    </w:p>
    <w:p w14:paraId="6563B9C5" w14:textId="7FB5F480" w:rsidR="00EF1BE8" w:rsidRPr="002C0C08" w:rsidRDefault="00342AB6" w:rsidP="006B3811">
      <w:pPr>
        <w:pStyle w:val="ListParagraph"/>
        <w:numPr>
          <w:ilvl w:val="2"/>
          <w:numId w:val="11"/>
        </w:numPr>
        <w:tabs>
          <w:tab w:val="left" w:pos="1329"/>
        </w:tabs>
        <w:ind w:left="1328" w:right="127" w:hanging="361"/>
        <w:jc w:val="both"/>
        <w:rPr>
          <w:sz w:val="20"/>
          <w:szCs w:val="20"/>
        </w:rPr>
      </w:pPr>
      <w:r w:rsidRPr="002C0C08">
        <w:rPr>
          <w:sz w:val="20"/>
          <w:szCs w:val="20"/>
        </w:rPr>
        <w:t>Evidence of positive student learning outcomes and an equitable</w:t>
      </w:r>
      <w:r w:rsidR="00F21DCA" w:rsidRPr="00F21DCA">
        <w:rPr>
          <w:sz w:val="21"/>
          <w:szCs w:val="21"/>
          <w:vertAlign w:val="superscript"/>
        </w:rPr>
        <w:t>4</w:t>
      </w:r>
      <w:r w:rsidRPr="002C0C08">
        <w:rPr>
          <w:sz w:val="20"/>
          <w:szCs w:val="20"/>
        </w:rPr>
        <w:t xml:space="preserve"> and inclusive</w:t>
      </w:r>
      <w:r w:rsidR="004104FF" w:rsidRPr="00F21DCA">
        <w:rPr>
          <w:position w:val="7"/>
          <w:sz w:val="15"/>
          <w:szCs w:val="15"/>
        </w:rPr>
        <w:t>5</w:t>
      </w:r>
      <w:r w:rsidRPr="002C0C08">
        <w:rPr>
          <w:position w:val="7"/>
          <w:sz w:val="20"/>
          <w:szCs w:val="20"/>
        </w:rPr>
        <w:t xml:space="preserve"> </w:t>
      </w:r>
      <w:r w:rsidRPr="002C0C08">
        <w:rPr>
          <w:sz w:val="20"/>
          <w:szCs w:val="20"/>
        </w:rPr>
        <w:t>learning environment. Such evidence may include assessment data, documentation of improved student success, successful development of new course or curriculum materials, and self-reflection.</w:t>
      </w:r>
    </w:p>
    <w:p w14:paraId="3DDAAE55" w14:textId="77777777" w:rsidR="00EF1BE8" w:rsidRPr="002C0C08" w:rsidRDefault="00342AB6" w:rsidP="006B3811">
      <w:pPr>
        <w:pStyle w:val="ListParagraph"/>
        <w:numPr>
          <w:ilvl w:val="2"/>
          <w:numId w:val="11"/>
        </w:numPr>
        <w:tabs>
          <w:tab w:val="left" w:pos="1329"/>
        </w:tabs>
        <w:ind w:left="1328" w:right="137" w:hanging="360"/>
        <w:jc w:val="both"/>
        <w:rPr>
          <w:sz w:val="20"/>
          <w:szCs w:val="20"/>
        </w:rPr>
      </w:pPr>
      <w:r w:rsidRPr="002C0C08">
        <w:rPr>
          <w:sz w:val="20"/>
          <w:szCs w:val="20"/>
        </w:rPr>
        <w:t>Evidence of substantial contributions to mentoring of students. Such evidence may include directing independent studies, research, or service-learning projects; serving on student academic committees; directing internship or mentoring programs; student advising; recognition from the School mentoring data.</w:t>
      </w:r>
    </w:p>
    <w:p w14:paraId="5E85AC05" w14:textId="77777777" w:rsidR="001910C4" w:rsidRPr="002C0C08" w:rsidRDefault="00342AB6" w:rsidP="001910C4">
      <w:pPr>
        <w:pStyle w:val="ListParagraph"/>
        <w:numPr>
          <w:ilvl w:val="2"/>
          <w:numId w:val="11"/>
        </w:numPr>
        <w:tabs>
          <w:tab w:val="left" w:pos="1329"/>
        </w:tabs>
        <w:ind w:left="1328" w:right="136" w:hanging="361"/>
        <w:jc w:val="both"/>
        <w:rPr>
          <w:sz w:val="20"/>
          <w:szCs w:val="20"/>
        </w:rPr>
      </w:pPr>
      <w:r w:rsidRPr="002C0C08">
        <w:rPr>
          <w:sz w:val="20"/>
          <w:szCs w:val="20"/>
        </w:rPr>
        <w:t>Evidence of scholarly development and implementation of innovative or advanced pedagogical methodologies, grounded in theory and appropriate for the candidate’</w:t>
      </w:r>
      <w:r w:rsidR="00057853" w:rsidRPr="002C0C08">
        <w:rPr>
          <w:sz w:val="20"/>
          <w:szCs w:val="20"/>
        </w:rPr>
        <w:t>s d</w:t>
      </w:r>
      <w:r w:rsidRPr="002C0C08">
        <w:rPr>
          <w:sz w:val="20"/>
          <w:szCs w:val="20"/>
        </w:rPr>
        <w:t>isciplinary teaching responsibilities. Such innovations may include active learning, team learning, use of learning spaces, technology assisted learning, online/hybrid education models.</w:t>
      </w:r>
    </w:p>
    <w:p w14:paraId="444A6C99" w14:textId="6B93FE23" w:rsidR="00057853" w:rsidRPr="002C0C08" w:rsidRDefault="00057853" w:rsidP="001910C4">
      <w:pPr>
        <w:pStyle w:val="ListParagraph"/>
        <w:numPr>
          <w:ilvl w:val="2"/>
          <w:numId w:val="11"/>
        </w:numPr>
        <w:tabs>
          <w:tab w:val="left" w:pos="1329"/>
        </w:tabs>
        <w:ind w:left="1328" w:right="136" w:hanging="361"/>
        <w:jc w:val="both"/>
        <w:rPr>
          <w:sz w:val="20"/>
          <w:szCs w:val="20"/>
        </w:rPr>
      </w:pPr>
      <w:r w:rsidRPr="002C0C08">
        <w:rPr>
          <w:color w:val="000000"/>
          <w:sz w:val="20"/>
          <w:szCs w:val="20"/>
        </w:rPr>
        <w:t>Evidence of leadership in teaching-related efforts that align with campus values of inclusivity, intellectual diversity, and equity to foster a learning environment that encourages broad participation from students of all backgrounds, including underrepresented and first-generation students. Appendix C provides guidance on teaching-related practices that support these values and promote a range of perspectives in the classroom.</w:t>
      </w:r>
    </w:p>
    <w:p w14:paraId="25B89CAF" w14:textId="76350823" w:rsidR="00057853" w:rsidRPr="002C0C08" w:rsidRDefault="00057853" w:rsidP="008E3E71">
      <w:pPr>
        <w:tabs>
          <w:tab w:val="left" w:pos="1329"/>
        </w:tabs>
        <w:ind w:left="1019" w:right="134"/>
        <w:rPr>
          <w:sz w:val="20"/>
          <w:szCs w:val="20"/>
        </w:rPr>
      </w:pPr>
    </w:p>
    <w:p w14:paraId="469A26FD" w14:textId="77777777" w:rsidR="00EF1BE8" w:rsidRPr="002C0C08" w:rsidRDefault="00EF1BE8" w:rsidP="00357075">
      <w:pPr>
        <w:pStyle w:val="BodyText"/>
        <w:rPr>
          <w:sz w:val="20"/>
          <w:szCs w:val="20"/>
        </w:rPr>
      </w:pPr>
    </w:p>
    <w:p w14:paraId="22D69BB7" w14:textId="77777777" w:rsidR="00EF1BE8" w:rsidRPr="002C0C08" w:rsidRDefault="00342AB6" w:rsidP="00540549">
      <w:pPr>
        <w:pStyle w:val="Heading3"/>
        <w:ind w:left="1019" w:right="473" w:hanging="1"/>
        <w:jc w:val="both"/>
        <w:rPr>
          <w:sz w:val="20"/>
          <w:szCs w:val="20"/>
        </w:rPr>
      </w:pPr>
      <w:r w:rsidRPr="002C0C08">
        <w:rPr>
          <w:sz w:val="20"/>
          <w:szCs w:val="20"/>
        </w:rPr>
        <w:t>[In addition to the criteria (a-g) above, the following may apply to promotion to Senior Lecturer]</w:t>
      </w:r>
    </w:p>
    <w:p w14:paraId="1E209339" w14:textId="77777777" w:rsidR="00EF1BE8" w:rsidRPr="002C0C08" w:rsidRDefault="00342AB6" w:rsidP="00540549">
      <w:pPr>
        <w:pStyle w:val="BodyText"/>
        <w:ind w:left="1019" w:right="133"/>
        <w:jc w:val="both"/>
        <w:rPr>
          <w:sz w:val="20"/>
          <w:szCs w:val="20"/>
        </w:rPr>
      </w:pPr>
      <w:r w:rsidRPr="002C0C08">
        <w:rPr>
          <w:sz w:val="20"/>
          <w:szCs w:val="20"/>
        </w:rPr>
        <w:t>Success in scholarly teaching may be demonstrated by creation, implementation, and documentation of effective and innovative teaching practices and by local or regional dissemination of knowledge and best practices of teaching and/or pedagogy.</w:t>
      </w:r>
    </w:p>
    <w:p w14:paraId="62BCC015" w14:textId="77777777" w:rsidR="00EF1BE8" w:rsidRPr="002C0C08" w:rsidRDefault="00342AB6" w:rsidP="00357075">
      <w:pPr>
        <w:pStyle w:val="ListParagraph"/>
        <w:numPr>
          <w:ilvl w:val="2"/>
          <w:numId w:val="11"/>
        </w:numPr>
        <w:tabs>
          <w:tab w:val="left" w:pos="1329"/>
        </w:tabs>
        <w:ind w:left="1328" w:right="134" w:hanging="360"/>
        <w:jc w:val="both"/>
        <w:rPr>
          <w:sz w:val="20"/>
          <w:szCs w:val="20"/>
        </w:rPr>
      </w:pPr>
      <w:r w:rsidRPr="002C0C08">
        <w:rPr>
          <w:sz w:val="20"/>
          <w:szCs w:val="20"/>
        </w:rPr>
        <w:t>Documentation of substantial efforts in course or curriculum enhancement or development. These may include the development and implementation of innovative classroom practices or new courses or programs that improve the educational mission of the Department or School, or initiating new degrees, concentrations, minors, or certificates that improve educational quality or expand the population of students being educated. These may include outreach educational efforts with K-12 schools and/or community colleges, or involvement with national educational outreach programs.</w:t>
      </w:r>
    </w:p>
    <w:p w14:paraId="7E21BF51" w14:textId="77777777" w:rsidR="00EF1BE8" w:rsidRPr="002C0C08" w:rsidRDefault="00342AB6" w:rsidP="00357075">
      <w:pPr>
        <w:pStyle w:val="ListParagraph"/>
        <w:numPr>
          <w:ilvl w:val="2"/>
          <w:numId w:val="11"/>
        </w:numPr>
        <w:tabs>
          <w:tab w:val="left" w:pos="1329"/>
        </w:tabs>
        <w:ind w:left="1328" w:right="137" w:hanging="360"/>
        <w:jc w:val="both"/>
        <w:rPr>
          <w:sz w:val="20"/>
          <w:szCs w:val="20"/>
        </w:rPr>
      </w:pPr>
      <w:r w:rsidRPr="002C0C08">
        <w:rPr>
          <w:sz w:val="20"/>
          <w:szCs w:val="20"/>
        </w:rPr>
        <w:t>Documentation of scholarly teaching and dissemination of knowledge on best practices of teaching and/or pedagogy:</w:t>
      </w:r>
    </w:p>
    <w:p w14:paraId="6FB57086" w14:textId="77777777" w:rsidR="00EF1BE8" w:rsidRPr="002C0C08" w:rsidRDefault="00342AB6" w:rsidP="00357075">
      <w:pPr>
        <w:pStyle w:val="ListParagraph"/>
        <w:numPr>
          <w:ilvl w:val="3"/>
          <w:numId w:val="11"/>
        </w:numPr>
        <w:tabs>
          <w:tab w:val="left" w:pos="1739"/>
        </w:tabs>
        <w:ind w:right="137" w:hanging="361"/>
        <w:jc w:val="both"/>
        <w:rPr>
          <w:sz w:val="20"/>
          <w:szCs w:val="20"/>
        </w:rPr>
      </w:pPr>
      <w:r w:rsidRPr="002C0C08">
        <w:rPr>
          <w:sz w:val="20"/>
          <w:szCs w:val="20"/>
        </w:rPr>
        <w:t>Local or regional dissemination of scholarly educational artifacts (e.g., abstracts, book chapters, conference proceedings, course materials, educational software, digital media, handbooks, manuals, papers, professional blogs addressing advances in teaching and pedagogy, or textbooks).</w:t>
      </w:r>
    </w:p>
    <w:p w14:paraId="1EAAA650" w14:textId="77777777" w:rsidR="00EF1BE8" w:rsidRPr="002C0C08" w:rsidRDefault="00342AB6" w:rsidP="00357075">
      <w:pPr>
        <w:pStyle w:val="ListParagraph"/>
        <w:numPr>
          <w:ilvl w:val="3"/>
          <w:numId w:val="11"/>
        </w:numPr>
        <w:tabs>
          <w:tab w:val="left" w:pos="1739"/>
        </w:tabs>
        <w:ind w:right="137" w:hanging="360"/>
        <w:jc w:val="both"/>
        <w:rPr>
          <w:sz w:val="20"/>
          <w:szCs w:val="20"/>
        </w:rPr>
      </w:pPr>
      <w:r w:rsidRPr="002C0C08">
        <w:rPr>
          <w:sz w:val="20"/>
          <w:szCs w:val="20"/>
        </w:rPr>
        <w:t>Local or regional presentations at conferences, workshops, training sessions, or professional meetings that promote dissemination of educational best practices or scholarly innovation.</w:t>
      </w:r>
    </w:p>
    <w:p w14:paraId="13BB189E" w14:textId="77777777" w:rsidR="00EF1BE8" w:rsidRPr="002C0C08" w:rsidRDefault="00342AB6" w:rsidP="00357075">
      <w:pPr>
        <w:pStyle w:val="ListParagraph"/>
        <w:numPr>
          <w:ilvl w:val="2"/>
          <w:numId w:val="11"/>
        </w:numPr>
        <w:tabs>
          <w:tab w:val="left" w:pos="1329"/>
        </w:tabs>
        <w:ind w:left="1328" w:right="136" w:hanging="360"/>
        <w:jc w:val="both"/>
        <w:rPr>
          <w:sz w:val="20"/>
          <w:szCs w:val="20"/>
        </w:rPr>
      </w:pPr>
      <w:r w:rsidRPr="002C0C08">
        <w:rPr>
          <w:sz w:val="20"/>
          <w:szCs w:val="20"/>
        </w:rPr>
        <w:t>Success in obtaining internal or external grant support for educational initiatives, infrastructure, course improvements, or student development.</w:t>
      </w:r>
    </w:p>
    <w:p w14:paraId="0BAC18CE" w14:textId="77777777" w:rsidR="00EF1BE8" w:rsidRPr="002C0C08" w:rsidRDefault="00342AB6" w:rsidP="00357075">
      <w:pPr>
        <w:pStyle w:val="ListParagraph"/>
        <w:numPr>
          <w:ilvl w:val="2"/>
          <w:numId w:val="11"/>
        </w:numPr>
        <w:tabs>
          <w:tab w:val="left" w:pos="1329"/>
        </w:tabs>
        <w:ind w:left="1328" w:hanging="361"/>
        <w:jc w:val="both"/>
        <w:rPr>
          <w:sz w:val="20"/>
          <w:szCs w:val="20"/>
        </w:rPr>
      </w:pPr>
      <w:r w:rsidRPr="002C0C08">
        <w:rPr>
          <w:sz w:val="20"/>
          <w:szCs w:val="20"/>
        </w:rPr>
        <w:t>Local or regional awards or recognition for excellence in teaching.</w:t>
      </w:r>
    </w:p>
    <w:p w14:paraId="64403B2D" w14:textId="77777777" w:rsidR="00EF1BE8" w:rsidRPr="002C0C08" w:rsidRDefault="00EF1BE8" w:rsidP="00357075">
      <w:pPr>
        <w:pStyle w:val="BodyText"/>
        <w:rPr>
          <w:sz w:val="20"/>
          <w:szCs w:val="20"/>
        </w:rPr>
      </w:pPr>
    </w:p>
    <w:p w14:paraId="0F2B0ADD" w14:textId="77777777" w:rsidR="00EF1BE8" w:rsidRPr="002C0C08" w:rsidRDefault="00342AB6" w:rsidP="00540549">
      <w:pPr>
        <w:pStyle w:val="Heading4"/>
        <w:numPr>
          <w:ilvl w:val="1"/>
          <w:numId w:val="11"/>
        </w:numPr>
        <w:tabs>
          <w:tab w:val="left" w:pos="968"/>
          <w:tab w:val="left" w:pos="969"/>
        </w:tabs>
        <w:ind w:left="968" w:hanging="721"/>
        <w:rPr>
          <w:rFonts w:ascii="Times New Roman" w:hAnsi="Times New Roman" w:cs="Times New Roman"/>
          <w:sz w:val="20"/>
          <w:szCs w:val="20"/>
        </w:rPr>
      </w:pPr>
      <w:r w:rsidRPr="002C0C08">
        <w:rPr>
          <w:rFonts w:ascii="Times New Roman" w:hAnsi="Times New Roman" w:cs="Times New Roman"/>
          <w:sz w:val="20"/>
          <w:szCs w:val="20"/>
        </w:rPr>
        <w:t>Excellent Performance for Promotion to Teaching Professor</w:t>
      </w:r>
    </w:p>
    <w:p w14:paraId="014C67C7" w14:textId="77777777" w:rsidR="00EF1BE8" w:rsidRPr="002C0C08" w:rsidRDefault="00342AB6" w:rsidP="003F6108">
      <w:pPr>
        <w:pStyle w:val="BodyText"/>
        <w:ind w:left="968" w:right="135"/>
        <w:jc w:val="both"/>
        <w:rPr>
          <w:sz w:val="20"/>
          <w:szCs w:val="20"/>
        </w:rPr>
      </w:pPr>
      <w:r w:rsidRPr="002C0C08">
        <w:rPr>
          <w:sz w:val="20"/>
          <w:szCs w:val="20"/>
        </w:rPr>
        <w:t xml:space="preserve">The rank of </w:t>
      </w:r>
      <w:r w:rsidRPr="002C0C08">
        <w:rPr>
          <w:b/>
          <w:sz w:val="20"/>
          <w:szCs w:val="20"/>
        </w:rPr>
        <w:t xml:space="preserve">Teaching Professor </w:t>
      </w:r>
      <w:r w:rsidRPr="002C0C08">
        <w:rPr>
          <w:sz w:val="20"/>
          <w:szCs w:val="20"/>
        </w:rPr>
        <w:t xml:space="preserve">describes a non-tenure track instructional faculty member who has established a sustained record of </w:t>
      </w:r>
      <w:r w:rsidRPr="002C0C08">
        <w:rPr>
          <w:b/>
          <w:sz w:val="20"/>
          <w:szCs w:val="20"/>
        </w:rPr>
        <w:t>excellence in teaching</w:t>
      </w:r>
      <w:r w:rsidRPr="002C0C08">
        <w:rPr>
          <w:sz w:val="20"/>
          <w:szCs w:val="20"/>
        </w:rPr>
        <w:t xml:space="preserve">. The primary responsibilities of this position are in the broad area of </w:t>
      </w:r>
      <w:r w:rsidRPr="002C0C08">
        <w:rPr>
          <w:b/>
          <w:sz w:val="20"/>
          <w:szCs w:val="20"/>
        </w:rPr>
        <w:t xml:space="preserve">instruction </w:t>
      </w:r>
      <w:r w:rsidRPr="002C0C08">
        <w:rPr>
          <w:sz w:val="20"/>
          <w:szCs w:val="20"/>
        </w:rPr>
        <w:t>including the teaching of undergraduate and/or graduate courses, advising, mentoring, and service in support of the teaching mission of the School of Science.</w:t>
      </w:r>
    </w:p>
    <w:p w14:paraId="6B35E634" w14:textId="77777777" w:rsidR="00EF1BE8" w:rsidRPr="002C0C08" w:rsidRDefault="00EF1BE8" w:rsidP="003F6108">
      <w:pPr>
        <w:pStyle w:val="BodyText"/>
        <w:rPr>
          <w:sz w:val="20"/>
          <w:szCs w:val="20"/>
        </w:rPr>
      </w:pPr>
    </w:p>
    <w:p w14:paraId="0DCD397A" w14:textId="77777777" w:rsidR="00EF1BE8" w:rsidRPr="002C0C08" w:rsidRDefault="00342AB6" w:rsidP="00540549">
      <w:pPr>
        <w:pStyle w:val="BodyText"/>
        <w:ind w:left="969" w:right="134"/>
        <w:jc w:val="both"/>
        <w:rPr>
          <w:sz w:val="20"/>
          <w:szCs w:val="20"/>
        </w:rPr>
      </w:pPr>
      <w:r w:rsidRPr="002C0C08">
        <w:rPr>
          <w:sz w:val="20"/>
          <w:szCs w:val="20"/>
        </w:rPr>
        <w:t xml:space="preserve">Teaching Professor is a rigorous pathway for promotion based specifically on excellence in teaching, and requires sustained excellent performance in teaching, together with at least satisfactory performance in service. In addition to the requirements for Senior Lecturer, candidates seeking promotion to Teaching Professor should demonstrate a record of sustained excellence in teaching and learning, together with evidence of service in support of teaching at the School, Campus, University, State or National level. Excellence in teaching can be expressed across multiple dimensions but </w:t>
      </w:r>
      <w:r w:rsidRPr="002C0C08">
        <w:rPr>
          <w:sz w:val="20"/>
          <w:szCs w:val="20"/>
        </w:rPr>
        <w:lastRenderedPageBreak/>
        <w:t>includes a clearly demonstrated and sustained record of high quality, effective teaching and innovative course or curricular development. Emphasis is on the sustained development of scholarly teaching practices, informed by the literature concerning effective teaching and shaped through the candidate’s analysis of their teaching experience, together with peer review of teaching and student satisfaction measurements. Expectations about the quantity of dissemination of scholarly products should be commensurate with the assigned teaching load of the candidate.</w:t>
      </w:r>
    </w:p>
    <w:p w14:paraId="5AF9FE06" w14:textId="77777777" w:rsidR="00BF3026" w:rsidRPr="002C0C08" w:rsidRDefault="00BF3026" w:rsidP="00540549">
      <w:pPr>
        <w:pStyle w:val="BodyText"/>
        <w:ind w:left="969" w:right="134"/>
        <w:jc w:val="both"/>
        <w:rPr>
          <w:sz w:val="20"/>
          <w:szCs w:val="20"/>
        </w:rPr>
      </w:pPr>
    </w:p>
    <w:p w14:paraId="716936CF" w14:textId="3F4119D7" w:rsidR="00EF1BE8" w:rsidRPr="002C0C08" w:rsidRDefault="00BF3026" w:rsidP="003F6108">
      <w:pPr>
        <w:ind w:left="968"/>
        <w:rPr>
          <w:b/>
          <w:i/>
          <w:sz w:val="20"/>
          <w:szCs w:val="20"/>
        </w:rPr>
      </w:pPr>
      <w:r w:rsidRPr="002C0C08">
        <w:rPr>
          <w:i/>
          <w:sz w:val="20"/>
          <w:szCs w:val="20"/>
          <w:u w:val="single"/>
        </w:rPr>
        <w:t>E</w:t>
      </w:r>
      <w:r w:rsidR="00342AB6" w:rsidRPr="002C0C08">
        <w:rPr>
          <w:i/>
          <w:sz w:val="20"/>
          <w:szCs w:val="20"/>
          <w:u w:val="single"/>
        </w:rPr>
        <w:t xml:space="preserve">xcellent performance in Teaching at all ranks </w:t>
      </w:r>
      <w:r w:rsidR="00342AB6" w:rsidRPr="002C0C08">
        <w:rPr>
          <w:i/>
          <w:sz w:val="20"/>
          <w:szCs w:val="20"/>
        </w:rPr>
        <w:t xml:space="preserve">is evidenced by the following criteria (a-g). </w:t>
      </w:r>
      <w:r w:rsidR="00342AB6" w:rsidRPr="002C0C08">
        <w:rPr>
          <w:b/>
          <w:i/>
          <w:sz w:val="20"/>
          <w:szCs w:val="20"/>
        </w:rPr>
        <w:t>Evidence supporting the criteria should be presented, but these are not a checklist; some criteria are more important than others, and differences in emphasis may depend on the discipline:</w:t>
      </w:r>
    </w:p>
    <w:p w14:paraId="6C68A08D" w14:textId="4C6E392C" w:rsidR="00EF1BE8" w:rsidRPr="002C0C08" w:rsidRDefault="00342AB6" w:rsidP="003F6108">
      <w:pPr>
        <w:pStyle w:val="ListParagraph"/>
        <w:numPr>
          <w:ilvl w:val="2"/>
          <w:numId w:val="11"/>
        </w:numPr>
        <w:tabs>
          <w:tab w:val="left" w:pos="1329"/>
        </w:tabs>
        <w:ind w:left="1328" w:right="137" w:hanging="361"/>
        <w:jc w:val="both"/>
        <w:rPr>
          <w:sz w:val="20"/>
          <w:szCs w:val="20"/>
        </w:rPr>
      </w:pPr>
      <w:r w:rsidRPr="002C0C08">
        <w:rPr>
          <w:sz w:val="20"/>
          <w:szCs w:val="20"/>
        </w:rPr>
        <w:t xml:space="preserve">Documentation that the candidate meets the teaching load designated by their department, as appropriate for </w:t>
      </w:r>
      <w:r w:rsidR="00C23F1A" w:rsidRPr="002C0C08">
        <w:rPr>
          <w:sz w:val="20"/>
          <w:szCs w:val="20"/>
        </w:rPr>
        <w:t xml:space="preserve"> their</w:t>
      </w:r>
      <w:r w:rsidRPr="002C0C08">
        <w:rPr>
          <w:sz w:val="20"/>
          <w:szCs w:val="20"/>
        </w:rPr>
        <w:t xml:space="preserve"> appointment.</w:t>
      </w:r>
    </w:p>
    <w:p w14:paraId="04E43D15" w14:textId="048434B9" w:rsidR="00EF1BE8" w:rsidRPr="002C0C08" w:rsidRDefault="00C15A4D" w:rsidP="003F6108">
      <w:pPr>
        <w:pStyle w:val="ListParagraph"/>
        <w:numPr>
          <w:ilvl w:val="2"/>
          <w:numId w:val="11"/>
        </w:numPr>
        <w:tabs>
          <w:tab w:val="left" w:pos="1329"/>
        </w:tabs>
        <w:ind w:left="1328" w:right="135" w:hanging="360"/>
        <w:jc w:val="both"/>
        <w:rPr>
          <w:sz w:val="20"/>
          <w:szCs w:val="20"/>
        </w:rPr>
      </w:pPr>
      <w:r w:rsidRPr="002C0C08">
        <w:rPr>
          <w:sz w:val="20"/>
          <w:szCs w:val="20"/>
        </w:rPr>
        <w:t>Summaries and analyses of student satisfaction data for each course taught in rank, provided in sufficient detail to allow determination of the students’ perception of the candidate’s effectiveness as a classroom teacher.</w:t>
      </w:r>
    </w:p>
    <w:p w14:paraId="43080BD8" w14:textId="77777777" w:rsidR="00EF1BE8" w:rsidRPr="002C0C08" w:rsidRDefault="00342AB6" w:rsidP="003F6108">
      <w:pPr>
        <w:pStyle w:val="ListParagraph"/>
        <w:numPr>
          <w:ilvl w:val="2"/>
          <w:numId w:val="11"/>
        </w:numPr>
        <w:tabs>
          <w:tab w:val="left" w:pos="1329"/>
        </w:tabs>
        <w:ind w:left="1328" w:right="136" w:hanging="361"/>
        <w:jc w:val="both"/>
        <w:rPr>
          <w:sz w:val="20"/>
          <w:szCs w:val="20"/>
        </w:rPr>
      </w:pPr>
      <w:r w:rsidRPr="002C0C08">
        <w:rPr>
          <w:sz w:val="20"/>
          <w:szCs w:val="20"/>
        </w:rPr>
        <w:t>Provision of rigorous peer evaluations, following the prevalent policies and procedures at the school or department level, and responses to peer review to document the candidate’s continuing efforts to improve in teaching.</w:t>
      </w:r>
    </w:p>
    <w:p w14:paraId="26BB46AC" w14:textId="1208CB06" w:rsidR="00EF1BE8" w:rsidRPr="002C0C08" w:rsidRDefault="00342AB6" w:rsidP="003F6108">
      <w:pPr>
        <w:pStyle w:val="ListParagraph"/>
        <w:numPr>
          <w:ilvl w:val="2"/>
          <w:numId w:val="11"/>
        </w:numPr>
        <w:tabs>
          <w:tab w:val="left" w:pos="1329"/>
        </w:tabs>
        <w:ind w:left="1328" w:right="135" w:hanging="361"/>
        <w:jc w:val="both"/>
        <w:rPr>
          <w:sz w:val="20"/>
          <w:szCs w:val="20"/>
        </w:rPr>
      </w:pPr>
      <w:r w:rsidRPr="002C0C08">
        <w:rPr>
          <w:sz w:val="20"/>
          <w:szCs w:val="20"/>
        </w:rPr>
        <w:t xml:space="preserve">Evidence of positive student learning outcomes and an </w:t>
      </w:r>
      <w:r w:rsidR="00C90FFD" w:rsidRPr="002C0C08">
        <w:rPr>
          <w:sz w:val="20"/>
          <w:szCs w:val="20"/>
        </w:rPr>
        <w:t>equitable</w:t>
      </w:r>
      <w:r w:rsidR="00C90FFD" w:rsidRPr="00F21DCA">
        <w:rPr>
          <w:sz w:val="21"/>
          <w:szCs w:val="21"/>
          <w:vertAlign w:val="superscript"/>
        </w:rPr>
        <w:t>4</w:t>
      </w:r>
      <w:r w:rsidR="00C90FFD" w:rsidRPr="002C0C08">
        <w:rPr>
          <w:sz w:val="20"/>
          <w:szCs w:val="20"/>
        </w:rPr>
        <w:t xml:space="preserve"> and inclusive</w:t>
      </w:r>
      <w:r w:rsidR="00C90FFD" w:rsidRPr="00F21DCA">
        <w:rPr>
          <w:position w:val="7"/>
          <w:sz w:val="15"/>
          <w:szCs w:val="15"/>
        </w:rPr>
        <w:t>5</w:t>
      </w:r>
      <w:r w:rsidR="00C90FFD">
        <w:rPr>
          <w:position w:val="7"/>
          <w:sz w:val="20"/>
          <w:szCs w:val="20"/>
        </w:rPr>
        <w:t xml:space="preserve"> </w:t>
      </w:r>
      <w:r w:rsidRPr="002C0C08">
        <w:rPr>
          <w:sz w:val="20"/>
          <w:szCs w:val="20"/>
        </w:rPr>
        <w:t>learning environment. Such evidence may include assessment data, documentation of improved student success, successful development of new course or curriculum materials, and self- reflection.</w:t>
      </w:r>
    </w:p>
    <w:p w14:paraId="7992E8DB" w14:textId="77777777" w:rsidR="00EF1BE8" w:rsidRPr="002C0C08" w:rsidRDefault="00342AB6" w:rsidP="003F6108">
      <w:pPr>
        <w:pStyle w:val="ListParagraph"/>
        <w:numPr>
          <w:ilvl w:val="2"/>
          <w:numId w:val="11"/>
        </w:numPr>
        <w:tabs>
          <w:tab w:val="left" w:pos="1330"/>
        </w:tabs>
        <w:ind w:left="1329" w:right="134" w:hanging="361"/>
        <w:jc w:val="both"/>
        <w:rPr>
          <w:sz w:val="20"/>
          <w:szCs w:val="20"/>
        </w:rPr>
      </w:pPr>
      <w:r w:rsidRPr="002C0C08">
        <w:rPr>
          <w:sz w:val="20"/>
          <w:szCs w:val="20"/>
        </w:rPr>
        <w:t>Evidence of contributions to mentoring of students. Such evidence may include directing independent studies, research, or service-learning projects; serving on student academic committees; directing internship or mentoring programs; student advising; recognition from the School mentoring data.</w:t>
      </w:r>
    </w:p>
    <w:p w14:paraId="46F8B4A3" w14:textId="77777777" w:rsidR="001910C4" w:rsidRPr="002C0C08" w:rsidRDefault="00342AB6" w:rsidP="001910C4">
      <w:pPr>
        <w:pStyle w:val="ListParagraph"/>
        <w:numPr>
          <w:ilvl w:val="2"/>
          <w:numId w:val="11"/>
        </w:numPr>
        <w:tabs>
          <w:tab w:val="left" w:pos="1330"/>
        </w:tabs>
        <w:ind w:left="1329" w:right="135" w:hanging="361"/>
        <w:jc w:val="both"/>
        <w:rPr>
          <w:sz w:val="20"/>
          <w:szCs w:val="20"/>
        </w:rPr>
      </w:pPr>
      <w:r w:rsidRPr="002C0C08">
        <w:rPr>
          <w:sz w:val="20"/>
          <w:szCs w:val="20"/>
        </w:rPr>
        <w:t>Evidence of scholarly development and implementation of innovative or advanced pedagogical methodologies, grounded in theory and appropriate for the candidate’s disciplinary teaching responsibilities. Such innovations may include active learning, team learning, use of learning spaces, technology assisted learning, online/hybrid education models.</w:t>
      </w:r>
    </w:p>
    <w:p w14:paraId="4899C4A4" w14:textId="263B89E5" w:rsidR="00BF3026" w:rsidRPr="002C0C08" w:rsidRDefault="00BF3026" w:rsidP="001910C4">
      <w:pPr>
        <w:pStyle w:val="ListParagraph"/>
        <w:numPr>
          <w:ilvl w:val="2"/>
          <w:numId w:val="11"/>
        </w:numPr>
        <w:tabs>
          <w:tab w:val="left" w:pos="1330"/>
        </w:tabs>
        <w:ind w:left="1329" w:right="135" w:hanging="361"/>
        <w:jc w:val="both"/>
        <w:rPr>
          <w:sz w:val="20"/>
          <w:szCs w:val="20"/>
        </w:rPr>
      </w:pPr>
      <w:r w:rsidRPr="002C0C08">
        <w:rPr>
          <w:color w:val="000000"/>
          <w:sz w:val="20"/>
          <w:szCs w:val="20"/>
        </w:rPr>
        <w:t>Evidence of leadership in teaching-related efforts that align with campus values of inclusivity, intellectual diversity, and equity to foster a learning environment that encourages broad participation from students of all backgrounds, including underrepresented and first-generation students. Appendix C provides guidance on teaching-related practices that support these values and promote a range of perspectives in the classroom</w:t>
      </w:r>
      <w:r w:rsidR="001910C4" w:rsidRPr="002C0C08">
        <w:rPr>
          <w:color w:val="000000"/>
          <w:sz w:val="20"/>
          <w:szCs w:val="20"/>
        </w:rPr>
        <w:t>.</w:t>
      </w:r>
    </w:p>
    <w:p w14:paraId="5A9F7594" w14:textId="77777777" w:rsidR="00EF1BE8" w:rsidRPr="002C0C08" w:rsidRDefault="00EF1BE8" w:rsidP="008E3E71">
      <w:pPr>
        <w:pStyle w:val="BodyText"/>
        <w:rPr>
          <w:sz w:val="20"/>
          <w:szCs w:val="20"/>
        </w:rPr>
      </w:pPr>
    </w:p>
    <w:p w14:paraId="326E94BF" w14:textId="77777777" w:rsidR="00EF1BE8" w:rsidRPr="002C0C08" w:rsidRDefault="00342AB6" w:rsidP="00CC3390">
      <w:pPr>
        <w:pStyle w:val="Heading3"/>
        <w:ind w:left="968" w:right="421" w:firstLine="0"/>
        <w:jc w:val="both"/>
        <w:rPr>
          <w:sz w:val="20"/>
          <w:szCs w:val="20"/>
        </w:rPr>
      </w:pPr>
      <w:r w:rsidRPr="002C0C08">
        <w:rPr>
          <w:sz w:val="20"/>
          <w:szCs w:val="20"/>
        </w:rPr>
        <w:t>[In addition to the criteria a-g above, the following may apply to promotion to Teaching Professor]</w:t>
      </w:r>
    </w:p>
    <w:p w14:paraId="574D1F07" w14:textId="77777777" w:rsidR="00EF1BE8" w:rsidRPr="002C0C08" w:rsidRDefault="00342AB6" w:rsidP="00CC3390">
      <w:pPr>
        <w:pStyle w:val="BodyText"/>
        <w:ind w:left="968" w:right="135"/>
        <w:jc w:val="both"/>
        <w:rPr>
          <w:sz w:val="20"/>
          <w:szCs w:val="20"/>
        </w:rPr>
      </w:pPr>
      <w:r w:rsidRPr="002C0C08">
        <w:rPr>
          <w:sz w:val="20"/>
          <w:szCs w:val="20"/>
        </w:rPr>
        <w:t>Sustained excellence in scholarly teaching may be demonstrated by creation, implementation, and documentation of effective and innovative teaching practices and by local or regional leadership and dissemination of knowledge and best practices of teaching and/or pedagogy.</w:t>
      </w:r>
    </w:p>
    <w:p w14:paraId="44AC3FDC" w14:textId="77777777" w:rsidR="00EF1BE8" w:rsidRPr="002C0C08" w:rsidRDefault="00342AB6" w:rsidP="00CC3390">
      <w:pPr>
        <w:pStyle w:val="ListParagraph"/>
        <w:numPr>
          <w:ilvl w:val="2"/>
          <w:numId w:val="11"/>
        </w:numPr>
        <w:tabs>
          <w:tab w:val="left" w:pos="1329"/>
        </w:tabs>
        <w:ind w:left="1328" w:right="135" w:hanging="361"/>
        <w:jc w:val="both"/>
        <w:rPr>
          <w:sz w:val="20"/>
          <w:szCs w:val="20"/>
        </w:rPr>
      </w:pPr>
      <w:r w:rsidRPr="002C0C08">
        <w:rPr>
          <w:sz w:val="20"/>
          <w:szCs w:val="20"/>
        </w:rPr>
        <w:t>Documentation of a sustained record of excellence in course or curriculum enhancement or development. These may include: sustained leadership roles in developing innovative, timely new courses, programs, or policies that improve the educational mission of the Department, Program, School, or Campus or initiating new degrees, concentrations, minors, or certificates that improve educational quality or expand the population of students being educated. These may also include publicly engaged scholarship with community partners, including outreach educational efforts with K-12 schools and/or community colleges, local or regional community service or government institutions, or involvement with national educational outreach programs.</w:t>
      </w:r>
    </w:p>
    <w:p w14:paraId="1F1ABF7A" w14:textId="77777777" w:rsidR="00EF1BE8" w:rsidRPr="002C0C08" w:rsidRDefault="00342AB6" w:rsidP="00CC3390">
      <w:pPr>
        <w:pStyle w:val="ListParagraph"/>
        <w:numPr>
          <w:ilvl w:val="2"/>
          <w:numId w:val="11"/>
        </w:numPr>
        <w:tabs>
          <w:tab w:val="left" w:pos="1329"/>
        </w:tabs>
        <w:ind w:left="1328" w:hanging="361"/>
        <w:jc w:val="both"/>
        <w:rPr>
          <w:sz w:val="20"/>
          <w:szCs w:val="20"/>
        </w:rPr>
      </w:pPr>
      <w:r w:rsidRPr="002C0C08">
        <w:rPr>
          <w:sz w:val="20"/>
          <w:szCs w:val="20"/>
        </w:rPr>
        <w:t>Documentation of peer-reviewed scholarship in teaching and learning:</w:t>
      </w:r>
    </w:p>
    <w:p w14:paraId="4DF403AA" w14:textId="6AC55CB8" w:rsidR="00BF3026" w:rsidRPr="002C0C08" w:rsidRDefault="00342AB6" w:rsidP="00CC3390">
      <w:pPr>
        <w:pStyle w:val="ListParagraph"/>
        <w:numPr>
          <w:ilvl w:val="0"/>
          <w:numId w:val="7"/>
        </w:numPr>
        <w:tabs>
          <w:tab w:val="left" w:pos="1704"/>
        </w:tabs>
        <w:ind w:right="136"/>
        <w:jc w:val="both"/>
        <w:rPr>
          <w:sz w:val="20"/>
          <w:szCs w:val="20"/>
        </w:rPr>
      </w:pPr>
      <w:r w:rsidRPr="002C0C08">
        <w:rPr>
          <w:sz w:val="20"/>
          <w:szCs w:val="20"/>
        </w:rPr>
        <w:t>Local or regional dissemination of scholarly educational artifacts (e.g., abstracts, book chapters, conference proceedings, course materials, educational software, digital media, handbooks, manuals, papers, professional blogs addressing advances in teaching and pedagogy, or textbooks).</w:t>
      </w:r>
    </w:p>
    <w:p w14:paraId="3994A4AA" w14:textId="0676FD08" w:rsidR="00EF1BE8" w:rsidRPr="002C0C08" w:rsidRDefault="00342AB6" w:rsidP="00CC3390">
      <w:pPr>
        <w:pStyle w:val="ListParagraph"/>
        <w:numPr>
          <w:ilvl w:val="0"/>
          <w:numId w:val="7"/>
        </w:numPr>
        <w:tabs>
          <w:tab w:val="left" w:pos="1704"/>
        </w:tabs>
        <w:ind w:right="136"/>
        <w:jc w:val="both"/>
        <w:rPr>
          <w:sz w:val="20"/>
          <w:szCs w:val="20"/>
        </w:rPr>
      </w:pPr>
      <w:r w:rsidRPr="002C0C08">
        <w:rPr>
          <w:sz w:val="20"/>
          <w:szCs w:val="20"/>
        </w:rPr>
        <w:t>Organization of or featured presenter at local or regional conferences workshops, training</w:t>
      </w:r>
      <w:r w:rsidR="00BF3026" w:rsidRPr="002C0C08">
        <w:rPr>
          <w:sz w:val="20"/>
          <w:szCs w:val="20"/>
        </w:rPr>
        <w:t xml:space="preserve"> </w:t>
      </w:r>
      <w:r w:rsidRPr="002C0C08">
        <w:rPr>
          <w:sz w:val="20"/>
          <w:szCs w:val="20"/>
        </w:rPr>
        <w:t>sessions, symposia, or professional meetings that promote dissemination of educational best practices, scholarly innovation, or community engagement.</w:t>
      </w:r>
    </w:p>
    <w:p w14:paraId="167DE128" w14:textId="77777777" w:rsidR="00EF1BE8" w:rsidRPr="002C0C08" w:rsidRDefault="00342AB6" w:rsidP="00CC3390">
      <w:pPr>
        <w:pStyle w:val="ListParagraph"/>
        <w:numPr>
          <w:ilvl w:val="2"/>
          <w:numId w:val="11"/>
        </w:numPr>
        <w:tabs>
          <w:tab w:val="left" w:pos="1328"/>
          <w:tab w:val="left" w:pos="1329"/>
        </w:tabs>
        <w:ind w:left="1328" w:right="137" w:hanging="360"/>
        <w:rPr>
          <w:sz w:val="20"/>
          <w:szCs w:val="20"/>
        </w:rPr>
      </w:pPr>
      <w:r w:rsidRPr="002C0C08">
        <w:rPr>
          <w:sz w:val="20"/>
          <w:szCs w:val="20"/>
        </w:rPr>
        <w:t>Contribution to successful internal or external grant support for educational initiatives, infrastructure, course improvements, or student development.</w:t>
      </w:r>
    </w:p>
    <w:p w14:paraId="7633755F" w14:textId="77777777" w:rsidR="00EF1BE8" w:rsidRPr="002C0C08" w:rsidRDefault="00342AB6" w:rsidP="00CC3390">
      <w:pPr>
        <w:pStyle w:val="ListParagraph"/>
        <w:numPr>
          <w:ilvl w:val="2"/>
          <w:numId w:val="11"/>
        </w:numPr>
        <w:tabs>
          <w:tab w:val="left" w:pos="1328"/>
          <w:tab w:val="left" w:pos="1329"/>
        </w:tabs>
        <w:ind w:left="1328" w:right="140" w:hanging="360"/>
        <w:rPr>
          <w:sz w:val="20"/>
          <w:szCs w:val="20"/>
        </w:rPr>
      </w:pPr>
      <w:r w:rsidRPr="002C0C08">
        <w:rPr>
          <w:sz w:val="20"/>
          <w:szCs w:val="20"/>
        </w:rPr>
        <w:lastRenderedPageBreak/>
        <w:t>Local or regional awards or recognition for excellence in teaching (Campus, University, State or beyond).</w:t>
      </w:r>
    </w:p>
    <w:p w14:paraId="2F2AC668" w14:textId="77777777" w:rsidR="00EF1BE8" w:rsidRPr="002C0C08" w:rsidRDefault="00EF1BE8" w:rsidP="008E3E71">
      <w:pPr>
        <w:pStyle w:val="BodyText"/>
        <w:rPr>
          <w:sz w:val="20"/>
          <w:szCs w:val="20"/>
        </w:rPr>
      </w:pPr>
    </w:p>
    <w:p w14:paraId="0088F5AD" w14:textId="39E9E9BD" w:rsidR="002B75B8" w:rsidRPr="002C0C08" w:rsidRDefault="00342AB6" w:rsidP="00540549">
      <w:pPr>
        <w:pStyle w:val="Heading4"/>
        <w:numPr>
          <w:ilvl w:val="1"/>
          <w:numId w:val="11"/>
        </w:numPr>
        <w:tabs>
          <w:tab w:val="left" w:pos="968"/>
          <w:tab w:val="left" w:pos="969"/>
        </w:tabs>
        <w:ind w:left="968" w:hanging="670"/>
        <w:rPr>
          <w:rFonts w:ascii="Times New Roman" w:hAnsi="Times New Roman" w:cs="Times New Roman"/>
          <w:sz w:val="20"/>
          <w:szCs w:val="20"/>
        </w:rPr>
      </w:pPr>
      <w:bookmarkStart w:id="20" w:name="4._Excellent_Performance_for_Promotion_t"/>
      <w:bookmarkEnd w:id="20"/>
      <w:r w:rsidRPr="002C0C08">
        <w:rPr>
          <w:rFonts w:ascii="Times New Roman" w:hAnsi="Times New Roman" w:cs="Times New Roman"/>
          <w:sz w:val="20"/>
          <w:szCs w:val="20"/>
        </w:rPr>
        <w:t xml:space="preserve">Excellent Performance for Promotion to Associate </w:t>
      </w:r>
      <w:r w:rsidR="002B75B8" w:rsidRPr="002C0C08">
        <w:rPr>
          <w:rFonts w:ascii="Times New Roman" w:hAnsi="Times New Roman" w:cs="Times New Roman"/>
          <w:sz w:val="20"/>
          <w:szCs w:val="20"/>
        </w:rPr>
        <w:t xml:space="preserve">Clinical </w:t>
      </w:r>
      <w:r w:rsidRPr="002C0C08">
        <w:rPr>
          <w:rFonts w:ascii="Times New Roman" w:hAnsi="Times New Roman" w:cs="Times New Roman"/>
          <w:sz w:val="20"/>
          <w:szCs w:val="20"/>
        </w:rPr>
        <w:t>Professor</w:t>
      </w:r>
      <w:r w:rsidR="00CE08A2" w:rsidRPr="002C0C08">
        <w:rPr>
          <w:rFonts w:ascii="Times New Roman" w:hAnsi="Times New Roman" w:cs="Times New Roman"/>
          <w:sz w:val="20"/>
          <w:szCs w:val="20"/>
        </w:rPr>
        <w:t xml:space="preserve"> and Clinical Professor</w:t>
      </w:r>
    </w:p>
    <w:p w14:paraId="1C749468" w14:textId="4D5F5B66" w:rsidR="002B75B8" w:rsidRPr="002C0C08" w:rsidRDefault="00BE137D" w:rsidP="00451F10">
      <w:pPr>
        <w:pStyle w:val="paragraph"/>
        <w:spacing w:before="0" w:beforeAutospacing="0" w:after="0" w:afterAutospacing="0"/>
        <w:ind w:left="720"/>
        <w:textAlignment w:val="baseline"/>
        <w:rPr>
          <w:sz w:val="20"/>
          <w:szCs w:val="20"/>
        </w:rPr>
      </w:pPr>
      <w:r w:rsidRPr="002C0C08">
        <w:rPr>
          <w:rStyle w:val="normaltextrun"/>
          <w:sz w:val="20"/>
          <w:szCs w:val="20"/>
        </w:rPr>
        <w:t>Clinical appointments are those in which the primary duties are teaching and service, including professional service in the clinical setting.</w:t>
      </w:r>
      <w:r w:rsidRPr="002C0C08">
        <w:rPr>
          <w:sz w:val="20"/>
          <w:szCs w:val="20"/>
        </w:rPr>
        <w:t xml:space="preserve"> </w:t>
      </w:r>
      <w:r w:rsidR="002B75B8" w:rsidRPr="002C0C08">
        <w:rPr>
          <w:rStyle w:val="normaltextrun"/>
          <w:sz w:val="20"/>
          <w:szCs w:val="20"/>
        </w:rPr>
        <w:t xml:space="preserve">To qualify as excellent performance </w:t>
      </w:r>
      <w:r w:rsidR="00CE08A2" w:rsidRPr="002C0C08">
        <w:rPr>
          <w:rStyle w:val="normaltextrun"/>
          <w:sz w:val="20"/>
          <w:szCs w:val="20"/>
        </w:rPr>
        <w:t xml:space="preserve">for Associate Clinical Professor, </w:t>
      </w:r>
      <w:r w:rsidR="002B75B8" w:rsidRPr="002C0C08">
        <w:rPr>
          <w:rStyle w:val="normaltextrun"/>
          <w:sz w:val="20"/>
          <w:szCs w:val="20"/>
        </w:rPr>
        <w:t>the candidate must provide evidence of significant contributions that go beyond satisfactory fulfillment of routine department teaching expectations and must include a record of dissemination through peer-reviewed scholarship of teaching. Promotion to Clinical Professor requires a sustained record of national and/or international dissemination of peer-reviewed scholarship and documentation of a national reputation for clinical service or teaching.</w:t>
      </w:r>
      <w:r w:rsidR="002B75B8" w:rsidRPr="002C0C08">
        <w:rPr>
          <w:rStyle w:val="normaltextrun"/>
          <w:i/>
          <w:iCs/>
          <w:sz w:val="20"/>
          <w:szCs w:val="20"/>
        </w:rPr>
        <w:t> </w:t>
      </w:r>
      <w:r w:rsidR="002B75B8" w:rsidRPr="002C0C08">
        <w:rPr>
          <w:rStyle w:val="eop"/>
          <w:sz w:val="20"/>
          <w:szCs w:val="20"/>
        </w:rPr>
        <w:t> </w:t>
      </w:r>
    </w:p>
    <w:p w14:paraId="3F6E1ABF" w14:textId="77777777" w:rsidR="002B75B8" w:rsidRPr="002C0C08" w:rsidRDefault="002B75B8" w:rsidP="00451F10">
      <w:pPr>
        <w:pStyle w:val="paragraph"/>
        <w:spacing w:before="0" w:beforeAutospacing="0" w:after="0" w:afterAutospacing="0"/>
        <w:ind w:left="720"/>
        <w:textAlignment w:val="baseline"/>
        <w:rPr>
          <w:sz w:val="20"/>
          <w:szCs w:val="20"/>
        </w:rPr>
      </w:pPr>
      <w:r w:rsidRPr="002C0C08">
        <w:rPr>
          <w:rStyle w:val="eop"/>
          <w:sz w:val="20"/>
          <w:szCs w:val="20"/>
        </w:rPr>
        <w:t> </w:t>
      </w:r>
    </w:p>
    <w:p w14:paraId="7E04D75E" w14:textId="1BE35AA9" w:rsidR="002B75B8" w:rsidRPr="002C0C08" w:rsidRDefault="002B75B8" w:rsidP="00451F10">
      <w:pPr>
        <w:pStyle w:val="paragraph"/>
        <w:spacing w:before="0" w:beforeAutospacing="0" w:after="0" w:afterAutospacing="0"/>
        <w:ind w:left="720"/>
        <w:textAlignment w:val="baseline"/>
        <w:rPr>
          <w:sz w:val="20"/>
          <w:szCs w:val="20"/>
        </w:rPr>
      </w:pPr>
      <w:r w:rsidRPr="002C0C08">
        <w:rPr>
          <w:rStyle w:val="normaltextrun"/>
          <w:i/>
          <w:iCs/>
          <w:sz w:val="20"/>
          <w:szCs w:val="20"/>
        </w:rPr>
        <w:t>Excellent performance at this level is evidenced by: (</w:t>
      </w:r>
      <w:r w:rsidRPr="002C0C08">
        <w:rPr>
          <w:rStyle w:val="normaltextrun"/>
          <w:i/>
          <w:iCs/>
          <w:color w:val="000000"/>
          <w:sz w:val="20"/>
          <w:szCs w:val="20"/>
        </w:rPr>
        <w:t>Evidence supporting the criteria should be presented, but these are not a checklist; some criteria are more important than others, and differences in emphasis may depend on the discipline)</w:t>
      </w:r>
      <w:r w:rsidRPr="002C0C08">
        <w:rPr>
          <w:rStyle w:val="eop"/>
          <w:color w:val="000000"/>
          <w:sz w:val="20"/>
          <w:szCs w:val="20"/>
        </w:rPr>
        <w:t> </w:t>
      </w:r>
    </w:p>
    <w:p w14:paraId="1AC72404" w14:textId="77777777" w:rsidR="002B75B8" w:rsidRPr="002C0C08" w:rsidRDefault="002B75B8" w:rsidP="00540549">
      <w:pPr>
        <w:pStyle w:val="paragraph"/>
        <w:spacing w:before="0" w:beforeAutospacing="0" w:after="0" w:afterAutospacing="0"/>
        <w:textAlignment w:val="baseline"/>
        <w:rPr>
          <w:sz w:val="20"/>
          <w:szCs w:val="20"/>
        </w:rPr>
      </w:pPr>
      <w:r w:rsidRPr="002C0C08">
        <w:rPr>
          <w:rStyle w:val="eop"/>
          <w:sz w:val="20"/>
          <w:szCs w:val="20"/>
        </w:rPr>
        <w:t> </w:t>
      </w:r>
    </w:p>
    <w:p w14:paraId="64BD7276" w14:textId="77777777" w:rsidR="002B75B8" w:rsidRPr="002C0C08" w:rsidRDefault="002B75B8" w:rsidP="00540549">
      <w:pPr>
        <w:pStyle w:val="paragraph"/>
        <w:numPr>
          <w:ilvl w:val="0"/>
          <w:numId w:val="14"/>
        </w:numPr>
        <w:spacing w:before="0" w:beforeAutospacing="0" w:after="0" w:afterAutospacing="0"/>
        <w:ind w:left="1080" w:firstLine="0"/>
        <w:textAlignment w:val="baseline"/>
        <w:rPr>
          <w:color w:val="000000" w:themeColor="text1"/>
          <w:sz w:val="20"/>
          <w:szCs w:val="20"/>
        </w:rPr>
      </w:pPr>
      <w:r w:rsidRPr="002C0C08">
        <w:rPr>
          <w:rStyle w:val="normaltextrun"/>
          <w:color w:val="000000" w:themeColor="text1"/>
          <w:sz w:val="20"/>
          <w:szCs w:val="20"/>
        </w:rPr>
        <w:t>Course, curriculum or practicum development or enhancements, including dissemination of ideas and evidence of adoption by others.</w:t>
      </w:r>
      <w:r w:rsidRPr="002C0C08">
        <w:rPr>
          <w:rStyle w:val="eop"/>
          <w:color w:val="000000" w:themeColor="text1"/>
          <w:sz w:val="20"/>
          <w:szCs w:val="20"/>
        </w:rPr>
        <w:t> </w:t>
      </w:r>
    </w:p>
    <w:p w14:paraId="52DCFDDF" w14:textId="38C1516D" w:rsidR="002B75B8" w:rsidRPr="002C0C08" w:rsidRDefault="002B75B8" w:rsidP="00540549">
      <w:pPr>
        <w:pStyle w:val="paragraph"/>
        <w:numPr>
          <w:ilvl w:val="0"/>
          <w:numId w:val="15"/>
        </w:numPr>
        <w:spacing w:before="0" w:beforeAutospacing="0" w:after="0" w:afterAutospacing="0"/>
        <w:ind w:left="1080" w:firstLine="0"/>
        <w:textAlignment w:val="baseline"/>
        <w:rPr>
          <w:color w:val="000000" w:themeColor="text1"/>
          <w:sz w:val="20"/>
          <w:szCs w:val="20"/>
        </w:rPr>
      </w:pPr>
      <w:r w:rsidRPr="002C0C08">
        <w:rPr>
          <w:rStyle w:val="normaltextrun"/>
          <w:color w:val="000000" w:themeColor="text1"/>
          <w:sz w:val="20"/>
          <w:szCs w:val="20"/>
        </w:rPr>
        <w:t>Evidence of positive student outcomes</w:t>
      </w:r>
      <w:r w:rsidR="00BE137D" w:rsidRPr="002C0C08">
        <w:rPr>
          <w:rStyle w:val="normaltextrun"/>
          <w:color w:val="000000" w:themeColor="text1"/>
          <w:sz w:val="20"/>
          <w:szCs w:val="20"/>
        </w:rPr>
        <w:t xml:space="preserve"> in instruction, mentoring, or supervision</w:t>
      </w:r>
      <w:r w:rsidRPr="002C0C08">
        <w:rPr>
          <w:rStyle w:val="normaltextrun"/>
          <w:color w:val="000000" w:themeColor="text1"/>
          <w:sz w:val="20"/>
          <w:szCs w:val="20"/>
        </w:rPr>
        <w:t>.</w:t>
      </w:r>
      <w:r w:rsidRPr="002C0C08">
        <w:rPr>
          <w:rStyle w:val="eop"/>
          <w:color w:val="000000" w:themeColor="text1"/>
          <w:sz w:val="20"/>
          <w:szCs w:val="20"/>
        </w:rPr>
        <w:t> </w:t>
      </w:r>
    </w:p>
    <w:p w14:paraId="03042829" w14:textId="0ABC9737" w:rsidR="002B75B8" w:rsidRPr="002C0C08" w:rsidRDefault="002B75B8" w:rsidP="00540549">
      <w:pPr>
        <w:pStyle w:val="paragraph"/>
        <w:numPr>
          <w:ilvl w:val="0"/>
          <w:numId w:val="16"/>
        </w:numPr>
        <w:spacing w:before="0" w:beforeAutospacing="0" w:after="0" w:afterAutospacing="0"/>
        <w:ind w:left="1080" w:firstLine="0"/>
        <w:textAlignment w:val="baseline"/>
        <w:rPr>
          <w:color w:val="000000" w:themeColor="text1"/>
          <w:sz w:val="20"/>
          <w:szCs w:val="20"/>
        </w:rPr>
      </w:pPr>
      <w:r w:rsidRPr="002C0C08">
        <w:rPr>
          <w:rStyle w:val="normaltextrun"/>
          <w:color w:val="000000" w:themeColor="text1"/>
          <w:sz w:val="20"/>
          <w:szCs w:val="20"/>
        </w:rPr>
        <w:t xml:space="preserve">Leadership in </w:t>
      </w:r>
      <w:r w:rsidR="00BE137D" w:rsidRPr="002C0C08">
        <w:rPr>
          <w:rStyle w:val="normaltextrun"/>
          <w:color w:val="000000" w:themeColor="text1"/>
          <w:sz w:val="20"/>
          <w:szCs w:val="20"/>
        </w:rPr>
        <w:t>teaching, mentoring, or supervision</w:t>
      </w:r>
      <w:r w:rsidR="00BE137D" w:rsidRPr="002C0C08">
        <w:rPr>
          <w:rStyle w:val="eop"/>
          <w:color w:val="000000" w:themeColor="text1"/>
          <w:sz w:val="20"/>
          <w:szCs w:val="20"/>
        </w:rPr>
        <w:t> </w:t>
      </w:r>
      <w:r w:rsidRPr="002C0C08">
        <w:rPr>
          <w:rStyle w:val="normaltextrun"/>
          <w:color w:val="000000" w:themeColor="text1"/>
          <w:sz w:val="20"/>
          <w:szCs w:val="20"/>
        </w:rPr>
        <w:t>and evidence of impact.</w:t>
      </w:r>
      <w:r w:rsidRPr="002C0C08">
        <w:rPr>
          <w:rStyle w:val="eop"/>
          <w:color w:val="000000" w:themeColor="text1"/>
          <w:sz w:val="20"/>
          <w:szCs w:val="20"/>
        </w:rPr>
        <w:t> </w:t>
      </w:r>
    </w:p>
    <w:p w14:paraId="4F805525" w14:textId="77777777" w:rsidR="0065095A" w:rsidRPr="002C0C08" w:rsidRDefault="002B75B8" w:rsidP="0065095A">
      <w:pPr>
        <w:pStyle w:val="paragraph"/>
        <w:numPr>
          <w:ilvl w:val="0"/>
          <w:numId w:val="17"/>
        </w:numPr>
        <w:spacing w:before="0" w:beforeAutospacing="0" w:after="0" w:afterAutospacing="0"/>
        <w:ind w:left="1080" w:firstLine="0"/>
        <w:textAlignment w:val="baseline"/>
        <w:rPr>
          <w:rStyle w:val="eop"/>
          <w:sz w:val="20"/>
          <w:szCs w:val="20"/>
        </w:rPr>
      </w:pPr>
      <w:r w:rsidRPr="002C0C08">
        <w:rPr>
          <w:rStyle w:val="normaltextrun"/>
          <w:color w:val="000000" w:themeColor="text1"/>
          <w:sz w:val="20"/>
          <w:szCs w:val="20"/>
        </w:rPr>
        <w:t xml:space="preserve">Evidence of </w:t>
      </w:r>
      <w:r w:rsidRPr="002C0C08">
        <w:rPr>
          <w:rStyle w:val="normaltextrun"/>
          <w:sz w:val="20"/>
          <w:szCs w:val="20"/>
        </w:rPr>
        <w:t>impact through peer-reviewed scholarship of teaching. Examples of scholarship may include presentations at local, state or national meetings, contributions to management board or teams, and disseminating work to the community. Promotion to Full Clinical Professor requires a sustained record of national and/or international dissemination of peer-reviewed scholarship and documentation of a national reputation for excellent clinical teaching.</w:t>
      </w:r>
      <w:r w:rsidRPr="002C0C08">
        <w:rPr>
          <w:rStyle w:val="eop"/>
          <w:sz w:val="20"/>
          <w:szCs w:val="20"/>
        </w:rPr>
        <w:t> </w:t>
      </w:r>
    </w:p>
    <w:p w14:paraId="7AD2D2F4" w14:textId="60CF1905" w:rsidR="0065095A" w:rsidRPr="002C0C08" w:rsidRDefault="0065095A" w:rsidP="00451F10">
      <w:pPr>
        <w:pStyle w:val="paragraph"/>
        <w:numPr>
          <w:ilvl w:val="0"/>
          <w:numId w:val="17"/>
        </w:numPr>
        <w:spacing w:before="0" w:beforeAutospacing="0" w:after="0" w:afterAutospacing="0"/>
        <w:ind w:left="1080" w:firstLine="0"/>
        <w:textAlignment w:val="baseline"/>
        <w:rPr>
          <w:sz w:val="20"/>
          <w:szCs w:val="20"/>
        </w:rPr>
      </w:pPr>
      <w:r w:rsidRPr="002C0C08">
        <w:rPr>
          <w:color w:val="000000"/>
          <w:sz w:val="20"/>
          <w:szCs w:val="20"/>
        </w:rPr>
        <w:t>Evidence of leadership in teaching-related efforts that align with campus values of inclusivity, intellectual diversity, and equity to foster a learning environment that encourages broad participation from students of all backgrounds, including underrepresented and first-generation students. Appendix C provides guidance on teaching-related practices that support these values and promote a range of perspectives in the classroom.</w:t>
      </w:r>
    </w:p>
    <w:p w14:paraId="04B50F5B" w14:textId="4593319A" w:rsidR="002B75B8" w:rsidRPr="002C0C08" w:rsidRDefault="002B75B8" w:rsidP="00540549">
      <w:pPr>
        <w:pStyle w:val="paragraph"/>
        <w:numPr>
          <w:ilvl w:val="0"/>
          <w:numId w:val="18"/>
        </w:numPr>
        <w:spacing w:before="0" w:beforeAutospacing="0" w:after="0" w:afterAutospacing="0"/>
        <w:ind w:left="1080" w:firstLine="0"/>
        <w:textAlignment w:val="baseline"/>
        <w:rPr>
          <w:sz w:val="20"/>
          <w:szCs w:val="20"/>
        </w:rPr>
      </w:pPr>
      <w:r w:rsidRPr="002C0C08">
        <w:rPr>
          <w:rStyle w:val="normaltextrun"/>
          <w:sz w:val="20"/>
          <w:szCs w:val="20"/>
        </w:rPr>
        <w:t>Peer-reviewed disciplinary research may support teaching excellence, if its impact on clinical teaching</w:t>
      </w:r>
      <w:r w:rsidR="00BE137D" w:rsidRPr="002C0C08">
        <w:rPr>
          <w:rStyle w:val="normaltextrun"/>
          <w:color w:val="000000" w:themeColor="text1"/>
          <w:sz w:val="20"/>
          <w:szCs w:val="20"/>
        </w:rPr>
        <w:t>, mentoring, or supervision</w:t>
      </w:r>
      <w:r w:rsidR="00BE137D" w:rsidRPr="002C0C08">
        <w:rPr>
          <w:rStyle w:val="eop"/>
          <w:color w:val="000000" w:themeColor="text1"/>
          <w:sz w:val="20"/>
          <w:szCs w:val="20"/>
        </w:rPr>
        <w:t> </w:t>
      </w:r>
      <w:r w:rsidRPr="002C0C08">
        <w:rPr>
          <w:rStyle w:val="normaltextrun"/>
          <w:sz w:val="20"/>
          <w:szCs w:val="20"/>
        </w:rPr>
        <w:t>is explicitly documented.</w:t>
      </w:r>
      <w:r w:rsidRPr="002C0C08">
        <w:rPr>
          <w:rStyle w:val="eop"/>
          <w:sz w:val="20"/>
          <w:szCs w:val="20"/>
        </w:rPr>
        <w:t> </w:t>
      </w:r>
    </w:p>
    <w:p w14:paraId="6922FBED" w14:textId="77777777" w:rsidR="002B75B8" w:rsidRPr="002C0C08" w:rsidRDefault="002B75B8" w:rsidP="00540549">
      <w:pPr>
        <w:pStyle w:val="paragraph"/>
        <w:spacing w:before="0" w:beforeAutospacing="0" w:after="0" w:afterAutospacing="0"/>
        <w:textAlignment w:val="baseline"/>
        <w:rPr>
          <w:sz w:val="20"/>
          <w:szCs w:val="20"/>
        </w:rPr>
      </w:pPr>
      <w:r w:rsidRPr="002C0C08">
        <w:rPr>
          <w:rStyle w:val="eop"/>
          <w:sz w:val="20"/>
          <w:szCs w:val="20"/>
        </w:rPr>
        <w:t> </w:t>
      </w:r>
    </w:p>
    <w:p w14:paraId="40005968" w14:textId="77942FB3" w:rsidR="002B75B8" w:rsidRPr="002C0C08" w:rsidRDefault="002B75B8" w:rsidP="00540549">
      <w:pPr>
        <w:pStyle w:val="Heading4"/>
        <w:numPr>
          <w:ilvl w:val="1"/>
          <w:numId w:val="11"/>
        </w:numPr>
        <w:tabs>
          <w:tab w:val="left" w:pos="968"/>
          <w:tab w:val="left" w:pos="969"/>
        </w:tabs>
        <w:ind w:left="968" w:hanging="670"/>
        <w:rPr>
          <w:rFonts w:ascii="Times New Roman" w:hAnsi="Times New Roman" w:cs="Times New Roman"/>
          <w:sz w:val="20"/>
          <w:szCs w:val="20"/>
        </w:rPr>
      </w:pPr>
      <w:r w:rsidRPr="002C0C08">
        <w:rPr>
          <w:rFonts w:ascii="Times New Roman" w:hAnsi="Times New Roman" w:cs="Times New Roman"/>
          <w:sz w:val="20"/>
          <w:szCs w:val="20"/>
        </w:rPr>
        <w:t>Excellent Performance for Promotion to Associate Professor</w:t>
      </w:r>
      <w:r w:rsidR="00BE137D" w:rsidRPr="002C0C08">
        <w:rPr>
          <w:rFonts w:ascii="Times New Roman" w:hAnsi="Times New Roman" w:cs="Times New Roman"/>
          <w:sz w:val="20"/>
          <w:szCs w:val="20"/>
        </w:rPr>
        <w:t xml:space="preserve"> </w:t>
      </w:r>
    </w:p>
    <w:p w14:paraId="1AC6D5E9" w14:textId="77777777" w:rsidR="002B75B8" w:rsidRPr="002C0C08" w:rsidRDefault="002B75B8" w:rsidP="008E3E71">
      <w:pPr>
        <w:pStyle w:val="Heading4"/>
        <w:tabs>
          <w:tab w:val="left" w:pos="968"/>
          <w:tab w:val="left" w:pos="969"/>
        </w:tabs>
        <w:ind w:left="0" w:firstLine="0"/>
        <w:rPr>
          <w:rFonts w:ascii="Times New Roman" w:hAnsi="Times New Roman" w:cs="Times New Roman"/>
          <w:sz w:val="20"/>
          <w:szCs w:val="20"/>
        </w:rPr>
      </w:pPr>
    </w:p>
    <w:p w14:paraId="02E777C0" w14:textId="77777777" w:rsidR="00EF1BE8" w:rsidRPr="002C0C08" w:rsidRDefault="00342AB6" w:rsidP="003F6108">
      <w:pPr>
        <w:pStyle w:val="BodyText"/>
        <w:ind w:left="968" w:right="210"/>
        <w:rPr>
          <w:sz w:val="20"/>
          <w:szCs w:val="20"/>
        </w:rPr>
      </w:pPr>
      <w:r w:rsidRPr="002C0C08">
        <w:rPr>
          <w:sz w:val="20"/>
          <w:szCs w:val="20"/>
        </w:rPr>
        <w:t xml:space="preserve">Tenure and Promotion to Associate Professor with Teaching as the Area of Excellence requires evidence of an emerging national reputation for excellent performance in teaching, together with at least satisfactory performance in research and service. Excellence in teaching includes a clearly demonstrated record of high quality, effective teaching, innovative course and curricular development, </w:t>
      </w:r>
      <w:r w:rsidRPr="002C0C08">
        <w:rPr>
          <w:b/>
          <w:sz w:val="20"/>
          <w:szCs w:val="20"/>
        </w:rPr>
        <w:t>creation of peer-reviewed scholarship and dissemination of knowledge about teaching and/or pedagogy</w:t>
      </w:r>
      <w:r w:rsidRPr="002C0C08">
        <w:rPr>
          <w:sz w:val="20"/>
          <w:szCs w:val="20"/>
        </w:rPr>
        <w:t>, and success in obtaining peer-reviewed external grant support.</w:t>
      </w:r>
    </w:p>
    <w:p w14:paraId="04E9A997" w14:textId="77777777" w:rsidR="00EF1BE8" w:rsidRPr="002C0C08" w:rsidRDefault="00EF1BE8" w:rsidP="003F6108">
      <w:pPr>
        <w:pStyle w:val="BodyText"/>
        <w:rPr>
          <w:sz w:val="20"/>
          <w:szCs w:val="20"/>
        </w:rPr>
      </w:pPr>
    </w:p>
    <w:p w14:paraId="131BB91D" w14:textId="77777777" w:rsidR="00EF1BE8" w:rsidRPr="002C0C08" w:rsidRDefault="00342AB6" w:rsidP="00540549">
      <w:pPr>
        <w:ind w:left="968"/>
        <w:rPr>
          <w:sz w:val="20"/>
          <w:szCs w:val="20"/>
        </w:rPr>
      </w:pPr>
      <w:r w:rsidRPr="002C0C08">
        <w:rPr>
          <w:i/>
          <w:sz w:val="20"/>
          <w:szCs w:val="20"/>
          <w:u w:val="single"/>
        </w:rPr>
        <w:t>Excellent performance in Teaching at all ranks</w:t>
      </w:r>
      <w:r w:rsidRPr="002C0C08">
        <w:rPr>
          <w:i/>
          <w:sz w:val="20"/>
          <w:szCs w:val="20"/>
        </w:rPr>
        <w:t xml:space="preserve"> is evidenced by the following criteria (a-g). </w:t>
      </w:r>
      <w:r w:rsidRPr="002C0C08">
        <w:rPr>
          <w:b/>
          <w:i/>
          <w:sz w:val="20"/>
          <w:szCs w:val="20"/>
        </w:rPr>
        <w:t>Evidence supporting the criteria should be presented, but these are not a checklist; some criteria are more important than others, and differences in emphasis may depend on the discipline</w:t>
      </w:r>
      <w:r w:rsidRPr="002C0C08">
        <w:rPr>
          <w:sz w:val="20"/>
          <w:szCs w:val="20"/>
        </w:rPr>
        <w:t>:</w:t>
      </w:r>
    </w:p>
    <w:p w14:paraId="29993AEF" w14:textId="77777777" w:rsidR="00EF1BE8" w:rsidRPr="002C0C08" w:rsidRDefault="00342AB6" w:rsidP="00CC3390">
      <w:pPr>
        <w:pStyle w:val="ListParagraph"/>
        <w:numPr>
          <w:ilvl w:val="2"/>
          <w:numId w:val="11"/>
        </w:numPr>
        <w:tabs>
          <w:tab w:val="left" w:pos="1329"/>
        </w:tabs>
        <w:ind w:left="1328" w:right="135" w:hanging="361"/>
        <w:jc w:val="both"/>
        <w:rPr>
          <w:sz w:val="20"/>
          <w:szCs w:val="20"/>
        </w:rPr>
      </w:pPr>
      <w:r w:rsidRPr="002C0C08">
        <w:rPr>
          <w:sz w:val="20"/>
          <w:szCs w:val="20"/>
        </w:rPr>
        <w:t>Documentation that the candidate meets the teaching load designated by their department, as appropriate for their appointment.</w:t>
      </w:r>
    </w:p>
    <w:p w14:paraId="7676B042" w14:textId="77777777" w:rsidR="00EF1BE8" w:rsidRPr="002C0C08" w:rsidRDefault="00342AB6" w:rsidP="00CC3390">
      <w:pPr>
        <w:pStyle w:val="ListParagraph"/>
        <w:numPr>
          <w:ilvl w:val="2"/>
          <w:numId w:val="11"/>
        </w:numPr>
        <w:tabs>
          <w:tab w:val="left" w:pos="1329"/>
        </w:tabs>
        <w:ind w:left="1328" w:right="135" w:hanging="360"/>
        <w:jc w:val="both"/>
        <w:rPr>
          <w:sz w:val="20"/>
          <w:szCs w:val="20"/>
        </w:rPr>
      </w:pPr>
      <w:r w:rsidRPr="002C0C08">
        <w:rPr>
          <w:sz w:val="20"/>
          <w:szCs w:val="20"/>
        </w:rPr>
        <w:t>Summaries and analyses of student evaluation of teaching data for each course taught in rank, provided in sufficient detail to allow determination of the students’ perception of the candidate’s effectiveness as a classroom teacher.</w:t>
      </w:r>
    </w:p>
    <w:p w14:paraId="4254DCD5" w14:textId="77777777" w:rsidR="00EF1BE8" w:rsidRPr="002C0C08" w:rsidRDefault="00342AB6" w:rsidP="00CC3390">
      <w:pPr>
        <w:pStyle w:val="ListParagraph"/>
        <w:numPr>
          <w:ilvl w:val="2"/>
          <w:numId w:val="11"/>
        </w:numPr>
        <w:tabs>
          <w:tab w:val="left" w:pos="1329"/>
        </w:tabs>
        <w:ind w:left="1328" w:right="136" w:hanging="361"/>
        <w:jc w:val="both"/>
        <w:rPr>
          <w:sz w:val="20"/>
          <w:szCs w:val="20"/>
        </w:rPr>
      </w:pPr>
      <w:r w:rsidRPr="002C0C08">
        <w:rPr>
          <w:sz w:val="20"/>
          <w:szCs w:val="20"/>
        </w:rPr>
        <w:t>Provision of rigorous peer evaluations, following the prevalent policies and procedures at the school or department level, and responses to peer review to document the candidate’s continuing efforts to improve in teaching.</w:t>
      </w:r>
    </w:p>
    <w:p w14:paraId="4CA8BB8F" w14:textId="12BD923C" w:rsidR="00EF1BE8" w:rsidRPr="002C0C08" w:rsidRDefault="00342AB6" w:rsidP="00CC3390">
      <w:pPr>
        <w:pStyle w:val="ListParagraph"/>
        <w:numPr>
          <w:ilvl w:val="2"/>
          <w:numId w:val="11"/>
        </w:numPr>
        <w:tabs>
          <w:tab w:val="left" w:pos="1329"/>
        </w:tabs>
        <w:ind w:left="1328" w:right="127" w:hanging="361"/>
        <w:jc w:val="both"/>
        <w:rPr>
          <w:sz w:val="20"/>
          <w:szCs w:val="20"/>
        </w:rPr>
      </w:pPr>
      <w:r w:rsidRPr="002C0C08">
        <w:rPr>
          <w:sz w:val="20"/>
          <w:szCs w:val="20"/>
        </w:rPr>
        <w:t xml:space="preserve">Evidence of positive student learning outcomes and an </w:t>
      </w:r>
      <w:r w:rsidR="00C90FFD" w:rsidRPr="002C0C08">
        <w:rPr>
          <w:sz w:val="20"/>
          <w:szCs w:val="20"/>
        </w:rPr>
        <w:t>equitable</w:t>
      </w:r>
      <w:r w:rsidR="00C90FFD" w:rsidRPr="00F21DCA">
        <w:rPr>
          <w:sz w:val="21"/>
          <w:szCs w:val="21"/>
          <w:vertAlign w:val="superscript"/>
        </w:rPr>
        <w:t>4</w:t>
      </w:r>
      <w:r w:rsidR="00C90FFD" w:rsidRPr="002C0C08">
        <w:rPr>
          <w:sz w:val="20"/>
          <w:szCs w:val="20"/>
        </w:rPr>
        <w:t xml:space="preserve"> and inclusive</w:t>
      </w:r>
      <w:r w:rsidR="00C90FFD" w:rsidRPr="00F21DCA">
        <w:rPr>
          <w:position w:val="7"/>
          <w:sz w:val="15"/>
          <w:szCs w:val="15"/>
        </w:rPr>
        <w:t>5</w:t>
      </w:r>
      <w:r w:rsidR="00C90FFD" w:rsidRPr="002C0C08">
        <w:rPr>
          <w:position w:val="7"/>
          <w:sz w:val="20"/>
          <w:szCs w:val="20"/>
        </w:rPr>
        <w:t xml:space="preserve"> </w:t>
      </w:r>
      <w:r w:rsidRPr="002C0C08">
        <w:rPr>
          <w:sz w:val="20"/>
          <w:szCs w:val="20"/>
        </w:rPr>
        <w:t>learning environment. Such evidence may include assessment data, documentation of improved student success, successful development of new course or curriculum materials, and self-reflection.</w:t>
      </w:r>
    </w:p>
    <w:p w14:paraId="0030312C" w14:textId="77777777" w:rsidR="00EF1BE8" w:rsidRPr="002C0C08" w:rsidRDefault="00342AB6" w:rsidP="00CC3390">
      <w:pPr>
        <w:pStyle w:val="ListParagraph"/>
        <w:numPr>
          <w:ilvl w:val="2"/>
          <w:numId w:val="11"/>
        </w:numPr>
        <w:tabs>
          <w:tab w:val="left" w:pos="1329"/>
        </w:tabs>
        <w:ind w:left="1328" w:right="137" w:hanging="361"/>
        <w:jc w:val="both"/>
        <w:rPr>
          <w:sz w:val="20"/>
          <w:szCs w:val="20"/>
        </w:rPr>
      </w:pPr>
      <w:r w:rsidRPr="002C0C08">
        <w:rPr>
          <w:sz w:val="20"/>
          <w:szCs w:val="20"/>
        </w:rPr>
        <w:t xml:space="preserve">Evidence of substantial contributions to mentoring of students. Such evidence may include directing independent studies, research, or service-learning projects; serving on student academic </w:t>
      </w:r>
      <w:r w:rsidRPr="002C0C08">
        <w:rPr>
          <w:sz w:val="20"/>
          <w:szCs w:val="20"/>
        </w:rPr>
        <w:lastRenderedPageBreak/>
        <w:t>committees; directing internship or mentoring programs; student advising; recognition from the School mentoring data.</w:t>
      </w:r>
    </w:p>
    <w:p w14:paraId="35450767" w14:textId="77777777" w:rsidR="004B2FC0" w:rsidRPr="002C0C08" w:rsidRDefault="00342AB6" w:rsidP="004B2FC0">
      <w:pPr>
        <w:pStyle w:val="ListParagraph"/>
        <w:numPr>
          <w:ilvl w:val="2"/>
          <w:numId w:val="11"/>
        </w:numPr>
        <w:tabs>
          <w:tab w:val="left" w:pos="1329"/>
        </w:tabs>
        <w:ind w:left="1328" w:right="135" w:hanging="360"/>
        <w:jc w:val="both"/>
        <w:rPr>
          <w:sz w:val="20"/>
          <w:szCs w:val="20"/>
        </w:rPr>
      </w:pPr>
      <w:r w:rsidRPr="002C0C08">
        <w:rPr>
          <w:sz w:val="20"/>
          <w:szCs w:val="20"/>
        </w:rPr>
        <w:t>Evidence of scholarly development and implementation of innovative or advanced pedagogical methodologies, grounded in theory and appropriate for the candidate’s disciplinary teaching responsibilities. Such innovations may include active learning, team learning, use of learning spaces, technology assisted learning, online/hybrid education models.</w:t>
      </w:r>
    </w:p>
    <w:p w14:paraId="1E189986" w14:textId="6A6EBC91" w:rsidR="00BF3026" w:rsidRPr="002C0C08" w:rsidRDefault="00BF3026" w:rsidP="004B2FC0">
      <w:pPr>
        <w:pStyle w:val="ListParagraph"/>
        <w:numPr>
          <w:ilvl w:val="2"/>
          <w:numId w:val="11"/>
        </w:numPr>
        <w:tabs>
          <w:tab w:val="left" w:pos="1329"/>
        </w:tabs>
        <w:ind w:left="1328" w:right="135" w:hanging="360"/>
        <w:jc w:val="both"/>
        <w:rPr>
          <w:sz w:val="20"/>
          <w:szCs w:val="20"/>
        </w:rPr>
      </w:pPr>
      <w:r w:rsidRPr="002C0C08">
        <w:rPr>
          <w:color w:val="000000"/>
          <w:sz w:val="20"/>
          <w:szCs w:val="20"/>
        </w:rPr>
        <w:t>Evidence of leadership in teaching-related efforts that align with campus values of inclusivity, intellectual diversity, and equity to foster a learning environment that encourages broad participation from students of all backgrounds, including underrepresented and first-generation students. Appendix C provides guidance on teaching-related practices that support these values and promote a range of perspectives in the classroom.</w:t>
      </w:r>
    </w:p>
    <w:p w14:paraId="631D48C8" w14:textId="77777777" w:rsidR="00BF3026" w:rsidRPr="002C0C08" w:rsidRDefault="00BF3026" w:rsidP="003F6108">
      <w:pPr>
        <w:tabs>
          <w:tab w:val="left" w:pos="1329"/>
        </w:tabs>
        <w:ind w:left="967" w:right="134"/>
        <w:jc w:val="both"/>
        <w:rPr>
          <w:sz w:val="20"/>
          <w:szCs w:val="20"/>
        </w:rPr>
      </w:pPr>
    </w:p>
    <w:p w14:paraId="6D051E1B" w14:textId="77777777" w:rsidR="00EF1BE8" w:rsidRPr="002C0C08" w:rsidRDefault="00EF1BE8" w:rsidP="003F6108">
      <w:pPr>
        <w:pStyle w:val="BodyText"/>
        <w:rPr>
          <w:sz w:val="20"/>
          <w:szCs w:val="20"/>
        </w:rPr>
      </w:pPr>
    </w:p>
    <w:p w14:paraId="7860D709" w14:textId="77777777" w:rsidR="00EF1BE8" w:rsidRPr="002C0C08" w:rsidRDefault="00342AB6" w:rsidP="00540549">
      <w:pPr>
        <w:pStyle w:val="Heading3"/>
        <w:ind w:left="1019" w:right="476" w:hanging="1"/>
        <w:jc w:val="both"/>
        <w:rPr>
          <w:sz w:val="20"/>
          <w:szCs w:val="20"/>
        </w:rPr>
      </w:pPr>
      <w:r w:rsidRPr="002C0C08">
        <w:rPr>
          <w:sz w:val="20"/>
          <w:szCs w:val="20"/>
        </w:rPr>
        <w:t>[In addition to criteria a-g above, the following may apply to Tenure and Promotion to Associate Professor]</w:t>
      </w:r>
    </w:p>
    <w:p w14:paraId="5495CE6C" w14:textId="5647AE6F" w:rsidR="00EF1BE8" w:rsidRPr="002C0C08" w:rsidRDefault="00342AB6" w:rsidP="00CC3390">
      <w:pPr>
        <w:pStyle w:val="ListParagraph"/>
        <w:numPr>
          <w:ilvl w:val="2"/>
          <w:numId w:val="11"/>
        </w:numPr>
        <w:tabs>
          <w:tab w:val="left" w:pos="1291"/>
        </w:tabs>
        <w:ind w:left="1328" w:right="135" w:hanging="360"/>
        <w:jc w:val="both"/>
        <w:rPr>
          <w:sz w:val="20"/>
          <w:szCs w:val="20"/>
        </w:rPr>
      </w:pPr>
      <w:r w:rsidRPr="002C0C08">
        <w:rPr>
          <w:sz w:val="20"/>
          <w:szCs w:val="20"/>
        </w:rPr>
        <w:t xml:space="preserve">Documentation of substantial efforts in course or curriculum enhancement or development. These may include leadership roles in developing innovative, timely new courses or programs that improve the educational mission of the Department or School, or initiating new degrees, concentrations, minors, or certificates that improve educational quality or expand the population of students being educated. These may include outreach educational efforts </w:t>
      </w:r>
      <w:r w:rsidR="00BF3026" w:rsidRPr="002C0C08">
        <w:rPr>
          <w:sz w:val="20"/>
          <w:szCs w:val="20"/>
        </w:rPr>
        <w:t>with K</w:t>
      </w:r>
      <w:r w:rsidRPr="002C0C08">
        <w:rPr>
          <w:sz w:val="20"/>
          <w:szCs w:val="20"/>
        </w:rPr>
        <w:t>-12 schools and/or community colleges or involvement with national educational outreach programs.</w:t>
      </w:r>
    </w:p>
    <w:p w14:paraId="121CF58E" w14:textId="77777777" w:rsidR="00EF1BE8" w:rsidRPr="002C0C08" w:rsidRDefault="00342AB6" w:rsidP="00CC3390">
      <w:pPr>
        <w:pStyle w:val="ListParagraph"/>
        <w:numPr>
          <w:ilvl w:val="2"/>
          <w:numId w:val="11"/>
        </w:numPr>
        <w:tabs>
          <w:tab w:val="left" w:pos="1291"/>
        </w:tabs>
        <w:ind w:left="1328" w:right="134" w:hanging="361"/>
        <w:jc w:val="both"/>
        <w:rPr>
          <w:sz w:val="20"/>
          <w:szCs w:val="20"/>
        </w:rPr>
      </w:pPr>
      <w:r w:rsidRPr="002C0C08">
        <w:rPr>
          <w:sz w:val="20"/>
          <w:szCs w:val="20"/>
        </w:rPr>
        <w:t>An upward trajectory of peer-reviewed scholarly artifacts in venues with national/international scope, consistent with an emerging national reputation for excellence in teaching and education. Such artifacts may include archival journals, peer-reviewed conference proceedings, books, book chapters, or disciplinary textbooks, handbooks, or manuals, digital media, or professional blogs addressing advances in teaching and pedagogy. Such publications may include Discipline-Based Educational Research (DBER) or more applied case studies on pedagogical methods, or research-based practices in education.</w:t>
      </w:r>
    </w:p>
    <w:p w14:paraId="7C0506C6" w14:textId="77777777" w:rsidR="00EF1BE8" w:rsidRPr="002C0C08" w:rsidRDefault="00342AB6" w:rsidP="00CC3390">
      <w:pPr>
        <w:pStyle w:val="ListParagraph"/>
        <w:numPr>
          <w:ilvl w:val="2"/>
          <w:numId w:val="11"/>
        </w:numPr>
        <w:tabs>
          <w:tab w:val="left" w:pos="1291"/>
        </w:tabs>
        <w:ind w:left="1329" w:right="136" w:hanging="361"/>
        <w:jc w:val="both"/>
        <w:rPr>
          <w:sz w:val="20"/>
          <w:szCs w:val="20"/>
        </w:rPr>
      </w:pPr>
      <w:r w:rsidRPr="002C0C08">
        <w:rPr>
          <w:sz w:val="20"/>
          <w:szCs w:val="20"/>
        </w:rPr>
        <w:t>Presentations that promote dissemination of educational best practices and scholarly innovation at regional and national conferences, workshops, training sessions, or professional meetings.</w:t>
      </w:r>
    </w:p>
    <w:p w14:paraId="67E1D0FD" w14:textId="77777777" w:rsidR="00EF1BE8" w:rsidRPr="002C0C08" w:rsidRDefault="00342AB6" w:rsidP="00CC3390">
      <w:pPr>
        <w:pStyle w:val="ListParagraph"/>
        <w:numPr>
          <w:ilvl w:val="2"/>
          <w:numId w:val="11"/>
        </w:numPr>
        <w:tabs>
          <w:tab w:val="left" w:pos="1291"/>
        </w:tabs>
        <w:ind w:left="1329" w:right="131" w:hanging="361"/>
        <w:jc w:val="both"/>
        <w:rPr>
          <w:sz w:val="20"/>
          <w:szCs w:val="20"/>
        </w:rPr>
      </w:pPr>
      <w:r w:rsidRPr="002C0C08">
        <w:rPr>
          <w:sz w:val="20"/>
          <w:szCs w:val="20"/>
        </w:rPr>
        <w:t>Success in obtaining peer-reviewed external grant support for teaching, educational innovation, or student development is typically important for furthering the faculty member’s program of scholarship in teaching and establishing their emerging national reputation (see Section E.4). In the case of collaborative grants with multiple investigators, the intellectual contributions made by the candidate must be clearly articulated.</w:t>
      </w:r>
    </w:p>
    <w:p w14:paraId="5D1B6BE0" w14:textId="77777777" w:rsidR="00EF1BE8" w:rsidRPr="002C0C08" w:rsidRDefault="00342AB6" w:rsidP="00CC3390">
      <w:pPr>
        <w:pStyle w:val="ListParagraph"/>
        <w:numPr>
          <w:ilvl w:val="2"/>
          <w:numId w:val="11"/>
        </w:numPr>
        <w:tabs>
          <w:tab w:val="left" w:pos="1291"/>
        </w:tabs>
        <w:ind w:left="1329" w:right="137" w:hanging="361"/>
        <w:jc w:val="both"/>
        <w:rPr>
          <w:sz w:val="20"/>
          <w:szCs w:val="20"/>
        </w:rPr>
      </w:pPr>
      <w:r w:rsidRPr="002C0C08">
        <w:rPr>
          <w:sz w:val="20"/>
          <w:szCs w:val="20"/>
        </w:rPr>
        <w:t>Awards or recognition for excellence or leadership in teaching at the local, regional or national level indicative of an emerging national reputation for excellence.</w:t>
      </w:r>
    </w:p>
    <w:p w14:paraId="000654C8" w14:textId="77777777" w:rsidR="00EF1BE8" w:rsidRPr="002C0C08" w:rsidRDefault="00EF1BE8" w:rsidP="00CC3390">
      <w:pPr>
        <w:pStyle w:val="BodyText"/>
        <w:rPr>
          <w:sz w:val="20"/>
          <w:szCs w:val="20"/>
        </w:rPr>
      </w:pPr>
    </w:p>
    <w:p w14:paraId="0DEF3F6C" w14:textId="77777777" w:rsidR="00EF1BE8" w:rsidRPr="002C0C08" w:rsidRDefault="00342AB6" w:rsidP="00540549">
      <w:pPr>
        <w:pStyle w:val="Heading4"/>
        <w:numPr>
          <w:ilvl w:val="1"/>
          <w:numId w:val="11"/>
        </w:numPr>
        <w:tabs>
          <w:tab w:val="left" w:pos="968"/>
          <w:tab w:val="left" w:pos="969"/>
        </w:tabs>
        <w:ind w:left="968" w:hanging="670"/>
        <w:rPr>
          <w:rFonts w:ascii="Times New Roman" w:hAnsi="Times New Roman" w:cs="Times New Roman"/>
          <w:sz w:val="20"/>
          <w:szCs w:val="20"/>
        </w:rPr>
      </w:pPr>
      <w:bookmarkStart w:id="21" w:name="5._Excellent_Performance_for_Promotion_t"/>
      <w:bookmarkEnd w:id="21"/>
      <w:r w:rsidRPr="002C0C08">
        <w:rPr>
          <w:rFonts w:ascii="Times New Roman" w:hAnsi="Times New Roman" w:cs="Times New Roman"/>
          <w:sz w:val="20"/>
          <w:szCs w:val="20"/>
        </w:rPr>
        <w:t>Excellent Performance for Promotion to Full Professor</w:t>
      </w:r>
    </w:p>
    <w:p w14:paraId="2E60BFA5" w14:textId="77777777" w:rsidR="00EF1BE8" w:rsidRPr="002C0C08" w:rsidRDefault="00342AB6" w:rsidP="00CC3390">
      <w:pPr>
        <w:ind w:left="968" w:right="139"/>
        <w:jc w:val="both"/>
        <w:rPr>
          <w:sz w:val="20"/>
          <w:szCs w:val="20"/>
        </w:rPr>
      </w:pPr>
      <w:r w:rsidRPr="002C0C08">
        <w:rPr>
          <w:sz w:val="20"/>
          <w:szCs w:val="20"/>
        </w:rPr>
        <w:t xml:space="preserve">Promotion to Full Professor with Teaching as the Area of Excellence requires evidence of a sustained national reputation for excellent performance in teaching, together with at least satisfactory performance in research and service. Excellence in teaching includes a sustained record of high quality, effective teaching, innovative course and curricular development, and </w:t>
      </w:r>
      <w:r w:rsidRPr="002C0C08">
        <w:rPr>
          <w:b/>
          <w:sz w:val="20"/>
          <w:szCs w:val="20"/>
        </w:rPr>
        <w:t>scholarly creation of peer-reviewed scholarship and dissemination of knowledge about teaching and/or pedagogy</w:t>
      </w:r>
      <w:r w:rsidRPr="002C0C08">
        <w:rPr>
          <w:sz w:val="20"/>
          <w:szCs w:val="20"/>
        </w:rPr>
        <w:t>, and success in obtaining peer-reviewed external grant support.</w:t>
      </w:r>
    </w:p>
    <w:p w14:paraId="50A4E0EB" w14:textId="77777777" w:rsidR="00EF1BE8" w:rsidRPr="002C0C08" w:rsidRDefault="00EF1BE8" w:rsidP="00CC3390">
      <w:pPr>
        <w:pStyle w:val="BodyText"/>
        <w:rPr>
          <w:sz w:val="20"/>
          <w:szCs w:val="20"/>
        </w:rPr>
      </w:pPr>
    </w:p>
    <w:p w14:paraId="6055860A" w14:textId="77777777" w:rsidR="00EF1BE8" w:rsidRPr="002C0C08" w:rsidRDefault="00342AB6" w:rsidP="00CC3390">
      <w:pPr>
        <w:ind w:left="968" w:right="228"/>
        <w:jc w:val="both"/>
        <w:rPr>
          <w:b/>
          <w:i/>
          <w:sz w:val="20"/>
          <w:szCs w:val="20"/>
        </w:rPr>
      </w:pPr>
      <w:r w:rsidRPr="002C0C08">
        <w:rPr>
          <w:i/>
          <w:sz w:val="20"/>
          <w:szCs w:val="20"/>
          <w:u w:val="single"/>
        </w:rPr>
        <w:t xml:space="preserve">Excellent performance in Teaching at all ranks </w:t>
      </w:r>
      <w:r w:rsidRPr="002C0C08">
        <w:rPr>
          <w:i/>
          <w:sz w:val="20"/>
          <w:szCs w:val="20"/>
        </w:rPr>
        <w:t xml:space="preserve">is evidenced by the following criteria (a-g). </w:t>
      </w:r>
      <w:r w:rsidRPr="002C0C08">
        <w:rPr>
          <w:b/>
          <w:i/>
          <w:sz w:val="20"/>
          <w:szCs w:val="20"/>
        </w:rPr>
        <w:t>Evidence supporting the criteria should be presented, but these are not a checklist; some criteria are more important than others, and differences in emphasis may depend on the discipline:</w:t>
      </w:r>
    </w:p>
    <w:p w14:paraId="4C041256" w14:textId="52C1A5D5" w:rsidR="00EF1BE8" w:rsidRPr="002C0C08" w:rsidRDefault="00342AB6" w:rsidP="00CC3390">
      <w:pPr>
        <w:pStyle w:val="ListParagraph"/>
        <w:numPr>
          <w:ilvl w:val="2"/>
          <w:numId w:val="11"/>
        </w:numPr>
        <w:tabs>
          <w:tab w:val="left" w:pos="1291"/>
        </w:tabs>
        <w:ind w:left="1290" w:right="136" w:hanging="360"/>
        <w:jc w:val="both"/>
        <w:rPr>
          <w:sz w:val="20"/>
          <w:szCs w:val="20"/>
        </w:rPr>
      </w:pPr>
      <w:r w:rsidRPr="002C0C08">
        <w:rPr>
          <w:sz w:val="20"/>
          <w:szCs w:val="20"/>
        </w:rPr>
        <w:t xml:space="preserve">Documentation that the candidate meets the teaching load designated by their department, as appropriate for </w:t>
      </w:r>
      <w:r w:rsidR="00C23F1A" w:rsidRPr="002C0C08">
        <w:rPr>
          <w:sz w:val="20"/>
          <w:szCs w:val="20"/>
        </w:rPr>
        <w:t>their</w:t>
      </w:r>
      <w:r w:rsidRPr="002C0C08">
        <w:rPr>
          <w:sz w:val="20"/>
          <w:szCs w:val="20"/>
        </w:rPr>
        <w:t xml:space="preserve"> appointment.</w:t>
      </w:r>
    </w:p>
    <w:p w14:paraId="53404BE0" w14:textId="77777777" w:rsidR="00EF1BE8" w:rsidRPr="002C0C08" w:rsidRDefault="00342AB6" w:rsidP="00CC3390">
      <w:pPr>
        <w:pStyle w:val="ListParagraph"/>
        <w:numPr>
          <w:ilvl w:val="2"/>
          <w:numId w:val="11"/>
        </w:numPr>
        <w:tabs>
          <w:tab w:val="left" w:pos="1291"/>
        </w:tabs>
        <w:ind w:left="1290" w:right="137" w:hanging="361"/>
        <w:jc w:val="both"/>
        <w:rPr>
          <w:sz w:val="20"/>
          <w:szCs w:val="20"/>
        </w:rPr>
      </w:pPr>
      <w:r w:rsidRPr="002C0C08">
        <w:rPr>
          <w:sz w:val="20"/>
          <w:szCs w:val="20"/>
        </w:rPr>
        <w:t>Summaries and analyses of student evaluation of teaching data for each course taught in rank, provided in sufficient detail to allow determination of the students’ perception of the candidate’s effectiveness as a classroom teacher.</w:t>
      </w:r>
    </w:p>
    <w:p w14:paraId="64ABBA06" w14:textId="77777777" w:rsidR="00EF1BE8" w:rsidRPr="002C0C08" w:rsidRDefault="00342AB6" w:rsidP="00CC3390">
      <w:pPr>
        <w:pStyle w:val="ListParagraph"/>
        <w:numPr>
          <w:ilvl w:val="2"/>
          <w:numId w:val="11"/>
        </w:numPr>
        <w:tabs>
          <w:tab w:val="left" w:pos="1291"/>
        </w:tabs>
        <w:ind w:left="1290" w:right="135" w:hanging="360"/>
        <w:jc w:val="both"/>
        <w:rPr>
          <w:sz w:val="20"/>
          <w:szCs w:val="20"/>
        </w:rPr>
      </w:pPr>
      <w:r w:rsidRPr="002C0C08">
        <w:rPr>
          <w:sz w:val="20"/>
          <w:szCs w:val="20"/>
        </w:rPr>
        <w:t>Provision of rigorous peer evaluations, following the prevalent policies and procedures at the school or department level, and responses to peer review to document the candidate’s continuing efforts to improve in teaching.</w:t>
      </w:r>
    </w:p>
    <w:p w14:paraId="2B0C565E" w14:textId="1D6C1C28" w:rsidR="00EF1BE8" w:rsidRPr="002C0C08" w:rsidRDefault="00342AB6" w:rsidP="00CC3390">
      <w:pPr>
        <w:pStyle w:val="ListParagraph"/>
        <w:numPr>
          <w:ilvl w:val="2"/>
          <w:numId w:val="11"/>
        </w:numPr>
        <w:tabs>
          <w:tab w:val="left" w:pos="1291"/>
        </w:tabs>
        <w:ind w:left="1290" w:right="127" w:hanging="361"/>
        <w:jc w:val="both"/>
        <w:rPr>
          <w:sz w:val="20"/>
          <w:szCs w:val="20"/>
        </w:rPr>
      </w:pPr>
      <w:r w:rsidRPr="002C0C08">
        <w:rPr>
          <w:sz w:val="20"/>
          <w:szCs w:val="20"/>
        </w:rPr>
        <w:t xml:space="preserve">Evidence of positive student learning outcomes and an </w:t>
      </w:r>
      <w:r w:rsidR="00C90FFD" w:rsidRPr="002C0C08">
        <w:rPr>
          <w:sz w:val="20"/>
          <w:szCs w:val="20"/>
        </w:rPr>
        <w:t>equitable</w:t>
      </w:r>
      <w:r w:rsidR="00C90FFD" w:rsidRPr="00F21DCA">
        <w:rPr>
          <w:sz w:val="21"/>
          <w:szCs w:val="21"/>
          <w:vertAlign w:val="superscript"/>
        </w:rPr>
        <w:t>4</w:t>
      </w:r>
      <w:r w:rsidR="00C90FFD" w:rsidRPr="002C0C08">
        <w:rPr>
          <w:sz w:val="20"/>
          <w:szCs w:val="20"/>
        </w:rPr>
        <w:t xml:space="preserve"> and inclusive</w:t>
      </w:r>
      <w:r w:rsidR="00C90FFD" w:rsidRPr="00F21DCA">
        <w:rPr>
          <w:position w:val="7"/>
          <w:sz w:val="15"/>
          <w:szCs w:val="15"/>
        </w:rPr>
        <w:t>5</w:t>
      </w:r>
      <w:r w:rsidR="00C90FFD">
        <w:rPr>
          <w:position w:val="7"/>
          <w:sz w:val="20"/>
          <w:szCs w:val="20"/>
        </w:rPr>
        <w:t xml:space="preserve"> </w:t>
      </w:r>
      <w:r w:rsidRPr="002C0C08">
        <w:rPr>
          <w:sz w:val="20"/>
          <w:szCs w:val="20"/>
        </w:rPr>
        <w:t xml:space="preserve">learning </w:t>
      </w:r>
      <w:r w:rsidRPr="002C0C08">
        <w:rPr>
          <w:sz w:val="20"/>
          <w:szCs w:val="20"/>
        </w:rPr>
        <w:lastRenderedPageBreak/>
        <w:t>environment. Such evidence may include assessment data, documentation of improved student success, successful development of new course or curriculum materials, and self-reflection.</w:t>
      </w:r>
    </w:p>
    <w:p w14:paraId="135A13FE" w14:textId="77777777" w:rsidR="00EF1BE8" w:rsidRPr="002C0C08" w:rsidRDefault="00342AB6" w:rsidP="00CC3390">
      <w:pPr>
        <w:pStyle w:val="ListParagraph"/>
        <w:numPr>
          <w:ilvl w:val="2"/>
          <w:numId w:val="11"/>
        </w:numPr>
        <w:tabs>
          <w:tab w:val="left" w:pos="1291"/>
        </w:tabs>
        <w:ind w:left="1290" w:right="135" w:hanging="361"/>
        <w:jc w:val="both"/>
        <w:rPr>
          <w:sz w:val="20"/>
          <w:szCs w:val="20"/>
        </w:rPr>
      </w:pPr>
      <w:r w:rsidRPr="002C0C08">
        <w:rPr>
          <w:sz w:val="20"/>
          <w:szCs w:val="20"/>
        </w:rPr>
        <w:t>Evidence of substantial contributions to mentoring of students. Such evidence may include directing independent studies, research, or service-learning projects; serving on student academic committees; directing internship or mentoring programs; student advising; recognition from the School mentoring data.</w:t>
      </w:r>
    </w:p>
    <w:p w14:paraId="6FA9271B" w14:textId="77777777" w:rsidR="004B2FC0" w:rsidRPr="002C0C08" w:rsidRDefault="00342AB6" w:rsidP="004B2FC0">
      <w:pPr>
        <w:pStyle w:val="ListParagraph"/>
        <w:numPr>
          <w:ilvl w:val="2"/>
          <w:numId w:val="11"/>
        </w:numPr>
        <w:tabs>
          <w:tab w:val="left" w:pos="1291"/>
        </w:tabs>
        <w:ind w:left="1290" w:right="133" w:hanging="360"/>
        <w:jc w:val="both"/>
        <w:rPr>
          <w:sz w:val="20"/>
          <w:szCs w:val="20"/>
        </w:rPr>
      </w:pPr>
      <w:r w:rsidRPr="002C0C08">
        <w:rPr>
          <w:sz w:val="20"/>
          <w:szCs w:val="20"/>
        </w:rPr>
        <w:t>Evidence of scholarly development and implementation of innovative or advanced pedagogical methodologies, grounded in theory and appropriate for the candidate’s disciplinary teaching responsibilities. Such innovations may include active learning, team learning, use of learning spaces, technology assisted learning, online/hybrid education models.</w:t>
      </w:r>
    </w:p>
    <w:p w14:paraId="2A79E8B0" w14:textId="7E507518" w:rsidR="00BF3026" w:rsidRPr="002C0C08" w:rsidRDefault="00BF3026" w:rsidP="004B2FC0">
      <w:pPr>
        <w:pStyle w:val="ListParagraph"/>
        <w:numPr>
          <w:ilvl w:val="2"/>
          <w:numId w:val="11"/>
        </w:numPr>
        <w:tabs>
          <w:tab w:val="left" w:pos="1291"/>
        </w:tabs>
        <w:ind w:left="1290" w:right="133" w:hanging="360"/>
        <w:jc w:val="both"/>
        <w:rPr>
          <w:sz w:val="20"/>
          <w:szCs w:val="20"/>
        </w:rPr>
      </w:pPr>
      <w:r w:rsidRPr="002C0C08">
        <w:rPr>
          <w:color w:val="000000"/>
          <w:sz w:val="20"/>
          <w:szCs w:val="20"/>
        </w:rPr>
        <w:t>Evidence of leadership in teaching-related efforts that align with campus values of inclusivity, intellectual diversity, and equity to foster a learning environment that encourages broad participation from students of all backgrounds, including underrepresented and first-generation students. Appendix C provides guidance on teaching-related practices that support these values and promote a range of perspectives in the classroom.</w:t>
      </w:r>
    </w:p>
    <w:p w14:paraId="616A1C10" w14:textId="77777777" w:rsidR="00EF1BE8" w:rsidRPr="002C0C08" w:rsidRDefault="00EF1BE8" w:rsidP="00540549">
      <w:pPr>
        <w:pStyle w:val="BodyText"/>
        <w:rPr>
          <w:sz w:val="20"/>
          <w:szCs w:val="20"/>
        </w:rPr>
      </w:pPr>
    </w:p>
    <w:p w14:paraId="3EC37CA9" w14:textId="77777777" w:rsidR="00EF1BE8" w:rsidRPr="002C0C08" w:rsidRDefault="00342AB6" w:rsidP="008E3E71">
      <w:pPr>
        <w:pStyle w:val="Heading3"/>
        <w:ind w:left="925" w:firstLine="0"/>
        <w:jc w:val="both"/>
        <w:rPr>
          <w:sz w:val="20"/>
          <w:szCs w:val="20"/>
        </w:rPr>
      </w:pPr>
      <w:r w:rsidRPr="002C0C08">
        <w:rPr>
          <w:sz w:val="20"/>
          <w:szCs w:val="20"/>
        </w:rPr>
        <w:t>[In addition to criteria a-g above, the following may apply to Promotion to Full Professor]</w:t>
      </w:r>
    </w:p>
    <w:p w14:paraId="6C9239FB" w14:textId="77777777" w:rsidR="00EF1BE8" w:rsidRPr="002C0C08" w:rsidRDefault="00342AB6" w:rsidP="00CC3390">
      <w:pPr>
        <w:pStyle w:val="ListParagraph"/>
        <w:numPr>
          <w:ilvl w:val="2"/>
          <w:numId w:val="11"/>
        </w:numPr>
        <w:tabs>
          <w:tab w:val="left" w:pos="1291"/>
        </w:tabs>
        <w:ind w:left="1290" w:right="135" w:hanging="360"/>
        <w:jc w:val="both"/>
        <w:rPr>
          <w:sz w:val="20"/>
          <w:szCs w:val="20"/>
        </w:rPr>
      </w:pPr>
      <w:r w:rsidRPr="002C0C08">
        <w:rPr>
          <w:sz w:val="20"/>
          <w:szCs w:val="20"/>
        </w:rPr>
        <w:t>Documentation of leadership in course or curriculum enhancement or development. These may include developing innovative, timely new courses or programs that improve the educational mission of the Department or School, coordinating major reorganization of curriculum or large service courses, or initiating new degrees, concentrations, minors, or certificates that improve educational quality or expand the population of students being educated. Other forms of leadership may be evident from participation in national programs of educational outreach or in groups that advance policies and standards of science education.</w:t>
      </w:r>
    </w:p>
    <w:p w14:paraId="40C7432D" w14:textId="77777777" w:rsidR="00EF1BE8" w:rsidRPr="002C0C08" w:rsidRDefault="00342AB6" w:rsidP="00CC3390">
      <w:pPr>
        <w:pStyle w:val="ListParagraph"/>
        <w:numPr>
          <w:ilvl w:val="2"/>
          <w:numId w:val="11"/>
        </w:numPr>
        <w:tabs>
          <w:tab w:val="left" w:pos="1291"/>
        </w:tabs>
        <w:ind w:left="1290" w:right="135" w:hanging="361"/>
        <w:jc w:val="both"/>
        <w:rPr>
          <w:sz w:val="20"/>
          <w:szCs w:val="20"/>
        </w:rPr>
      </w:pPr>
      <w:r w:rsidRPr="002C0C08">
        <w:rPr>
          <w:sz w:val="20"/>
          <w:szCs w:val="20"/>
        </w:rPr>
        <w:t>Consistent dissemination of peer-reviewed scholarly artifacts with broad impact in venues with national/international scope indicative of a sustained national and international reputation for excellence in teaching and education. Such artifacts may include archival journals, peer-reviewed conference proceedings, books, book chapters, or disciplinary textbooks, handbooks, or manuals, digital media, or professional blogs addressing advances in teaching and pedagogy. Such publications may include Discipline-Based Educational Research (DBER) or more applied case studies on pedagogical methods, or research-based practices in education.</w:t>
      </w:r>
    </w:p>
    <w:p w14:paraId="3768EBE4" w14:textId="77777777" w:rsidR="00EF1BE8" w:rsidRPr="002C0C08" w:rsidRDefault="00342AB6" w:rsidP="00CC3390">
      <w:pPr>
        <w:pStyle w:val="ListParagraph"/>
        <w:numPr>
          <w:ilvl w:val="2"/>
          <w:numId w:val="11"/>
        </w:numPr>
        <w:tabs>
          <w:tab w:val="left" w:pos="1291"/>
        </w:tabs>
        <w:ind w:left="1290" w:right="136" w:hanging="360"/>
        <w:jc w:val="both"/>
        <w:rPr>
          <w:sz w:val="20"/>
          <w:szCs w:val="20"/>
        </w:rPr>
      </w:pPr>
      <w:r w:rsidRPr="002C0C08">
        <w:rPr>
          <w:sz w:val="20"/>
          <w:szCs w:val="20"/>
        </w:rPr>
        <w:t>Presentations and invited talks that promote dissemination of educational best practices and scholarly innovation at national and international conferences, institutions, or organizational venues with a national or international scope.</w:t>
      </w:r>
    </w:p>
    <w:p w14:paraId="4F2E5BCD" w14:textId="5F22ED9B" w:rsidR="00EF1BE8" w:rsidRPr="002C0C08" w:rsidRDefault="00342AB6" w:rsidP="00CC3390">
      <w:pPr>
        <w:pStyle w:val="ListParagraph"/>
        <w:numPr>
          <w:ilvl w:val="2"/>
          <w:numId w:val="11"/>
        </w:numPr>
        <w:tabs>
          <w:tab w:val="left" w:pos="1291"/>
        </w:tabs>
        <w:ind w:left="1290" w:right="135" w:hanging="360"/>
        <w:jc w:val="both"/>
        <w:rPr>
          <w:sz w:val="20"/>
          <w:szCs w:val="20"/>
        </w:rPr>
      </w:pPr>
      <w:r w:rsidRPr="002C0C08">
        <w:rPr>
          <w:sz w:val="20"/>
          <w:szCs w:val="20"/>
        </w:rPr>
        <w:t xml:space="preserve">Success in obtaining significant peer-reviewed external grant support for teaching, educational innovation, or student development from agencies, organizations, or foundations with a national scope is typically important for advancing the faculty member’s program of scholarship in teaching and establishing </w:t>
      </w:r>
      <w:r w:rsidR="00C23F1A" w:rsidRPr="002C0C08">
        <w:rPr>
          <w:sz w:val="20"/>
          <w:szCs w:val="20"/>
        </w:rPr>
        <w:t>their</w:t>
      </w:r>
      <w:r w:rsidRPr="002C0C08">
        <w:rPr>
          <w:sz w:val="20"/>
          <w:szCs w:val="20"/>
        </w:rPr>
        <w:t xml:space="preserve"> sustained national reputation excellence (see Section E.4). In the case of collaborative grants with multiple investigators, the intellectual contributions made by the candidate must be clearly articulated.</w:t>
      </w:r>
    </w:p>
    <w:p w14:paraId="4084965F" w14:textId="77777777" w:rsidR="00EF1BE8" w:rsidRPr="002C0C08" w:rsidRDefault="00342AB6" w:rsidP="00CC3390">
      <w:pPr>
        <w:pStyle w:val="ListParagraph"/>
        <w:numPr>
          <w:ilvl w:val="2"/>
          <w:numId w:val="11"/>
        </w:numPr>
        <w:tabs>
          <w:tab w:val="left" w:pos="1291"/>
        </w:tabs>
        <w:ind w:left="1290" w:right="141" w:hanging="361"/>
        <w:jc w:val="both"/>
        <w:rPr>
          <w:sz w:val="20"/>
          <w:szCs w:val="20"/>
        </w:rPr>
      </w:pPr>
      <w:r w:rsidRPr="002C0C08">
        <w:rPr>
          <w:sz w:val="20"/>
          <w:szCs w:val="20"/>
        </w:rPr>
        <w:t>Significant awards or recognition for excellence or leadership in teaching at the local, national, or international levels indicative of a reputation for sustained excellence.</w:t>
      </w:r>
    </w:p>
    <w:p w14:paraId="39899E9E" w14:textId="77777777" w:rsidR="00EF1BE8" w:rsidRPr="002C0C08" w:rsidRDefault="00EF1BE8" w:rsidP="00540549">
      <w:pPr>
        <w:pStyle w:val="BodyText"/>
        <w:rPr>
          <w:sz w:val="20"/>
          <w:szCs w:val="20"/>
        </w:rPr>
      </w:pPr>
    </w:p>
    <w:p w14:paraId="6F96E0A6" w14:textId="77777777" w:rsidR="00EF1BE8" w:rsidRPr="002C0C08" w:rsidRDefault="00342AB6" w:rsidP="00CC3390">
      <w:pPr>
        <w:pStyle w:val="BodyText"/>
        <w:ind w:left="249" w:hanging="1"/>
        <w:rPr>
          <w:sz w:val="20"/>
          <w:szCs w:val="20"/>
        </w:rPr>
      </w:pPr>
      <w:r w:rsidRPr="002C0C08">
        <w:rPr>
          <w:sz w:val="20"/>
          <w:szCs w:val="20"/>
        </w:rPr>
        <w:t>Note that promotion to Full Professor implies that the candidate is recognized by their peers as a nationally and/or internationally recognized authority in their field of specialization.</w:t>
      </w:r>
    </w:p>
    <w:p w14:paraId="0A352490" w14:textId="77777777" w:rsidR="00EF1BE8" w:rsidRPr="002C0C08" w:rsidRDefault="00EF1BE8" w:rsidP="00CC3390">
      <w:pPr>
        <w:pStyle w:val="BodyText"/>
        <w:rPr>
          <w:sz w:val="20"/>
          <w:szCs w:val="20"/>
        </w:rPr>
      </w:pPr>
    </w:p>
    <w:p w14:paraId="33C85D4A" w14:textId="77777777" w:rsidR="00EF1BE8" w:rsidRPr="002C0C08" w:rsidRDefault="00342AB6" w:rsidP="00540549">
      <w:pPr>
        <w:pStyle w:val="Heading1"/>
        <w:numPr>
          <w:ilvl w:val="0"/>
          <w:numId w:val="11"/>
        </w:numPr>
        <w:tabs>
          <w:tab w:val="left" w:pos="877"/>
          <w:tab w:val="left" w:pos="878"/>
        </w:tabs>
        <w:ind w:hanging="759"/>
        <w:rPr>
          <w:sz w:val="20"/>
          <w:szCs w:val="20"/>
        </w:rPr>
      </w:pPr>
      <w:bookmarkStart w:id="22" w:name="G._CRITERIA_FOR_RESEARCH"/>
      <w:bookmarkEnd w:id="22"/>
      <w:r w:rsidRPr="002C0C08">
        <w:rPr>
          <w:sz w:val="20"/>
          <w:szCs w:val="20"/>
        </w:rPr>
        <w:t>CRITERIA FOR RESEARCH</w:t>
      </w:r>
    </w:p>
    <w:p w14:paraId="28AFA378" w14:textId="77777777" w:rsidR="00EF1BE8" w:rsidRPr="002C0C08" w:rsidRDefault="00EF1BE8" w:rsidP="00CC3390">
      <w:pPr>
        <w:pStyle w:val="BodyText"/>
        <w:rPr>
          <w:b/>
          <w:sz w:val="20"/>
          <w:szCs w:val="20"/>
        </w:rPr>
      </w:pPr>
    </w:p>
    <w:p w14:paraId="751F0649" w14:textId="13294820" w:rsidR="00EF1BE8" w:rsidRPr="002C0C08" w:rsidRDefault="00342AB6" w:rsidP="00CC3390">
      <w:pPr>
        <w:pStyle w:val="BodyText"/>
        <w:ind w:left="244" w:right="315" w:firstLine="1"/>
        <w:jc w:val="both"/>
        <w:rPr>
          <w:sz w:val="20"/>
          <w:szCs w:val="20"/>
        </w:rPr>
      </w:pPr>
      <w:r w:rsidRPr="002C0C08">
        <w:rPr>
          <w:sz w:val="20"/>
          <w:szCs w:val="20"/>
        </w:rPr>
        <w:t xml:space="preserve">While recognizing that research (like teaching) is, in part, an art — that excellent research is not totally </w:t>
      </w:r>
      <w:r w:rsidR="00EF449C" w:rsidRPr="002C0C08">
        <w:rPr>
          <w:sz w:val="20"/>
          <w:szCs w:val="20"/>
        </w:rPr>
        <w:t>quantifiable,</w:t>
      </w:r>
      <w:r w:rsidRPr="002C0C08">
        <w:rPr>
          <w:sz w:val="20"/>
          <w:szCs w:val="20"/>
        </w:rPr>
        <w:t xml:space="preserve"> nor can it be defined narrowly — the School of Science has established the following criteria for research in conjunction with the promotion and tenure process. The relative weights of these criteria vary according to disciplinary norms described in departmental guidelines.</w:t>
      </w:r>
    </w:p>
    <w:p w14:paraId="42411A9A" w14:textId="77777777" w:rsidR="00EF1BE8" w:rsidRPr="002C0C08" w:rsidRDefault="00EF1BE8" w:rsidP="00CC3390">
      <w:pPr>
        <w:pStyle w:val="BodyText"/>
        <w:rPr>
          <w:sz w:val="20"/>
          <w:szCs w:val="20"/>
        </w:rPr>
      </w:pPr>
    </w:p>
    <w:p w14:paraId="56A657FE" w14:textId="77777777" w:rsidR="00EF1BE8" w:rsidRPr="002C0C08" w:rsidRDefault="00342AB6" w:rsidP="00540549">
      <w:pPr>
        <w:pStyle w:val="Heading4"/>
        <w:numPr>
          <w:ilvl w:val="1"/>
          <w:numId w:val="11"/>
        </w:numPr>
        <w:tabs>
          <w:tab w:val="left" w:pos="606"/>
          <w:tab w:val="left" w:pos="607"/>
        </w:tabs>
        <w:ind w:left="606" w:hanging="361"/>
        <w:rPr>
          <w:rFonts w:ascii="Times New Roman" w:hAnsi="Times New Roman" w:cs="Times New Roman"/>
          <w:sz w:val="20"/>
          <w:szCs w:val="20"/>
        </w:rPr>
      </w:pPr>
      <w:r w:rsidRPr="002C0C08">
        <w:rPr>
          <w:rFonts w:ascii="Times New Roman" w:hAnsi="Times New Roman" w:cs="Times New Roman"/>
          <w:sz w:val="20"/>
          <w:szCs w:val="20"/>
        </w:rPr>
        <w:t>Satisfactory Performance</w:t>
      </w:r>
    </w:p>
    <w:p w14:paraId="468A8124" w14:textId="77777777" w:rsidR="00EF1BE8" w:rsidRPr="002C0C08" w:rsidRDefault="00342AB6" w:rsidP="00CC3390">
      <w:pPr>
        <w:ind w:left="968"/>
        <w:rPr>
          <w:b/>
          <w:i/>
          <w:sz w:val="20"/>
          <w:szCs w:val="20"/>
        </w:rPr>
      </w:pPr>
      <w:r w:rsidRPr="002C0C08">
        <w:rPr>
          <w:i/>
          <w:sz w:val="20"/>
          <w:szCs w:val="20"/>
          <w:u w:val="single"/>
        </w:rPr>
        <w:t>Satisfactory performance</w:t>
      </w:r>
      <w:r w:rsidRPr="002C0C08">
        <w:rPr>
          <w:i/>
          <w:sz w:val="20"/>
          <w:szCs w:val="20"/>
        </w:rPr>
        <w:t xml:space="preserve"> is evidenced by the following criteria. </w:t>
      </w:r>
      <w:r w:rsidRPr="002C0C08">
        <w:rPr>
          <w:b/>
          <w:i/>
          <w:sz w:val="20"/>
          <w:szCs w:val="20"/>
        </w:rPr>
        <w:t>Evidence supporting the criteria should be presented but these are not a checklist; some criteria are more important than others, and differences in emphasis may depend on the discipline:</w:t>
      </w:r>
    </w:p>
    <w:p w14:paraId="52FAE26B" w14:textId="53CC1E0D" w:rsidR="00EF1BE8" w:rsidRPr="002C0C08" w:rsidRDefault="00342AB6" w:rsidP="00CC3390">
      <w:pPr>
        <w:pStyle w:val="ListParagraph"/>
        <w:numPr>
          <w:ilvl w:val="2"/>
          <w:numId w:val="11"/>
        </w:numPr>
        <w:tabs>
          <w:tab w:val="left" w:pos="1328"/>
          <w:tab w:val="left" w:pos="1329"/>
        </w:tabs>
        <w:ind w:left="1328" w:hanging="361"/>
        <w:rPr>
          <w:sz w:val="20"/>
          <w:szCs w:val="20"/>
        </w:rPr>
      </w:pPr>
      <w:r w:rsidRPr="002C0C08">
        <w:rPr>
          <w:sz w:val="20"/>
          <w:szCs w:val="20"/>
        </w:rPr>
        <w:t>A productive research program evidenced by publications and citations to the</w:t>
      </w:r>
      <w:r w:rsidR="00F47A98" w:rsidRPr="002C0C08">
        <w:rPr>
          <w:sz w:val="20"/>
          <w:szCs w:val="20"/>
        </w:rPr>
        <w:t xml:space="preserve"> </w:t>
      </w:r>
      <w:r w:rsidRPr="002C0C08">
        <w:rPr>
          <w:sz w:val="20"/>
          <w:szCs w:val="20"/>
        </w:rPr>
        <w:t xml:space="preserve">candidate’s research </w:t>
      </w:r>
      <w:r w:rsidRPr="002C0C08">
        <w:rPr>
          <w:sz w:val="20"/>
          <w:szCs w:val="20"/>
        </w:rPr>
        <w:lastRenderedPageBreak/>
        <w:t>in the literature.</w:t>
      </w:r>
    </w:p>
    <w:p w14:paraId="7DCD0FD0" w14:textId="77777777" w:rsidR="00EF1BE8" w:rsidRPr="002C0C08" w:rsidRDefault="00342AB6" w:rsidP="00CC3390">
      <w:pPr>
        <w:pStyle w:val="ListParagraph"/>
        <w:numPr>
          <w:ilvl w:val="2"/>
          <w:numId w:val="11"/>
        </w:numPr>
        <w:tabs>
          <w:tab w:val="left" w:pos="1328"/>
          <w:tab w:val="left" w:pos="1329"/>
        </w:tabs>
        <w:ind w:left="1328" w:hanging="361"/>
        <w:rPr>
          <w:sz w:val="20"/>
          <w:szCs w:val="20"/>
        </w:rPr>
      </w:pPr>
      <w:r w:rsidRPr="002C0C08">
        <w:rPr>
          <w:sz w:val="20"/>
          <w:szCs w:val="20"/>
        </w:rPr>
        <w:t>A record demonstrating continued development as a researcher.</w:t>
      </w:r>
    </w:p>
    <w:p w14:paraId="3EE4A2D0" w14:textId="77777777" w:rsidR="00EF1BE8" w:rsidRPr="002C0C08" w:rsidRDefault="00342AB6" w:rsidP="00CC3390">
      <w:pPr>
        <w:pStyle w:val="ListParagraph"/>
        <w:numPr>
          <w:ilvl w:val="2"/>
          <w:numId w:val="11"/>
        </w:numPr>
        <w:tabs>
          <w:tab w:val="left" w:pos="1328"/>
          <w:tab w:val="left" w:pos="1329"/>
        </w:tabs>
        <w:ind w:left="1328" w:hanging="361"/>
        <w:rPr>
          <w:sz w:val="20"/>
          <w:szCs w:val="20"/>
        </w:rPr>
      </w:pPr>
      <w:r w:rsidRPr="002C0C08">
        <w:rPr>
          <w:sz w:val="20"/>
          <w:szCs w:val="20"/>
        </w:rPr>
        <w:t>A record of involvement in the research program of the Department.</w:t>
      </w:r>
    </w:p>
    <w:p w14:paraId="6446CFF7" w14:textId="77777777" w:rsidR="00EF1BE8" w:rsidRPr="002C0C08" w:rsidRDefault="00342AB6" w:rsidP="00CC3390">
      <w:pPr>
        <w:pStyle w:val="ListParagraph"/>
        <w:numPr>
          <w:ilvl w:val="2"/>
          <w:numId w:val="11"/>
        </w:numPr>
        <w:tabs>
          <w:tab w:val="left" w:pos="1328"/>
          <w:tab w:val="left" w:pos="1329"/>
        </w:tabs>
        <w:ind w:left="1328" w:hanging="361"/>
        <w:rPr>
          <w:sz w:val="20"/>
          <w:szCs w:val="20"/>
        </w:rPr>
      </w:pPr>
      <w:r w:rsidRPr="002C0C08">
        <w:rPr>
          <w:sz w:val="20"/>
          <w:szCs w:val="20"/>
        </w:rPr>
        <w:t>Some form of peer evaluation demonstrating research excellence.</w:t>
      </w:r>
    </w:p>
    <w:p w14:paraId="0BA51EBC" w14:textId="753936CA" w:rsidR="00EF1BE8" w:rsidRPr="002C0C08" w:rsidRDefault="00342AB6" w:rsidP="003F6108">
      <w:pPr>
        <w:pStyle w:val="ListParagraph"/>
        <w:numPr>
          <w:ilvl w:val="2"/>
          <w:numId w:val="11"/>
        </w:numPr>
        <w:tabs>
          <w:tab w:val="left" w:pos="1329"/>
        </w:tabs>
        <w:ind w:left="1328" w:right="138" w:hanging="361"/>
        <w:jc w:val="both"/>
        <w:rPr>
          <w:sz w:val="20"/>
          <w:szCs w:val="20"/>
        </w:rPr>
      </w:pPr>
      <w:r w:rsidRPr="002C0C08">
        <w:rPr>
          <w:sz w:val="20"/>
          <w:szCs w:val="20"/>
        </w:rPr>
        <w:t>Involvement in mentored research at any level (e.g., high school, undergraduate, graduate, and postdoctoral), including efforts to increase the participation, persistence, and success of students from diverse backgrounds, including under-represented</w:t>
      </w:r>
      <w:r w:rsidR="008A11BC" w:rsidRPr="008A11BC">
        <w:rPr>
          <w:position w:val="7"/>
          <w:sz w:val="15"/>
          <w:szCs w:val="15"/>
        </w:rPr>
        <w:t>5</w:t>
      </w:r>
      <w:r w:rsidRPr="002C0C08">
        <w:rPr>
          <w:position w:val="7"/>
          <w:sz w:val="20"/>
          <w:szCs w:val="20"/>
        </w:rPr>
        <w:t xml:space="preserve"> </w:t>
      </w:r>
      <w:r w:rsidRPr="002C0C08">
        <w:rPr>
          <w:sz w:val="20"/>
          <w:szCs w:val="20"/>
        </w:rPr>
        <w:t>and first-generation students.</w:t>
      </w:r>
    </w:p>
    <w:p w14:paraId="5898CA44" w14:textId="77777777" w:rsidR="00EF1BE8" w:rsidRPr="002C0C08" w:rsidRDefault="00EF1BE8" w:rsidP="003F6108">
      <w:pPr>
        <w:pStyle w:val="BodyText"/>
        <w:rPr>
          <w:sz w:val="20"/>
          <w:szCs w:val="20"/>
        </w:rPr>
      </w:pPr>
    </w:p>
    <w:p w14:paraId="789486D7" w14:textId="77777777" w:rsidR="00EF1BE8" w:rsidRPr="002C0C08" w:rsidRDefault="00342AB6" w:rsidP="00540549">
      <w:pPr>
        <w:pStyle w:val="Heading4"/>
        <w:numPr>
          <w:ilvl w:val="1"/>
          <w:numId w:val="11"/>
        </w:numPr>
        <w:tabs>
          <w:tab w:val="left" w:pos="968"/>
          <w:tab w:val="left" w:pos="969"/>
        </w:tabs>
        <w:ind w:left="968" w:hanging="721"/>
        <w:rPr>
          <w:rFonts w:ascii="Times New Roman" w:hAnsi="Times New Roman" w:cs="Times New Roman"/>
          <w:sz w:val="20"/>
          <w:szCs w:val="20"/>
        </w:rPr>
      </w:pPr>
      <w:bookmarkStart w:id="23" w:name="2._Excellent_Performance_for_Promotion_t"/>
      <w:bookmarkEnd w:id="23"/>
      <w:r w:rsidRPr="002C0C08">
        <w:rPr>
          <w:rFonts w:ascii="Times New Roman" w:hAnsi="Times New Roman" w:cs="Times New Roman"/>
          <w:sz w:val="20"/>
          <w:szCs w:val="20"/>
        </w:rPr>
        <w:t>Excellent Performance for Promotion to Associate Professor</w:t>
      </w:r>
    </w:p>
    <w:p w14:paraId="7505D4C6" w14:textId="365DC7FA" w:rsidR="00EF1BE8" w:rsidRPr="002C0C08" w:rsidRDefault="00C15A4D" w:rsidP="003F6108">
      <w:pPr>
        <w:ind w:left="968" w:right="259"/>
        <w:rPr>
          <w:b/>
          <w:i/>
          <w:sz w:val="20"/>
          <w:szCs w:val="20"/>
        </w:rPr>
      </w:pPr>
      <w:r w:rsidRPr="002C0C08">
        <w:rPr>
          <w:i/>
          <w:sz w:val="20"/>
          <w:szCs w:val="20"/>
          <w:u w:val="single"/>
        </w:rPr>
        <w:t>Excellent performance at this level</w:t>
      </w:r>
      <w:r w:rsidRPr="002C0C08">
        <w:rPr>
          <w:i/>
          <w:sz w:val="20"/>
          <w:szCs w:val="20"/>
        </w:rPr>
        <w:t xml:space="preserve"> is evidenced by the following criteria. </w:t>
      </w:r>
      <w:r w:rsidRPr="002C0C08">
        <w:rPr>
          <w:b/>
          <w:i/>
          <w:sz w:val="20"/>
          <w:szCs w:val="20"/>
        </w:rPr>
        <w:t>Evidence supporting the criteria should be presented but these are not a checklist; some criteria are more important than others, and differences in emphasis may depend on the discipline:</w:t>
      </w:r>
    </w:p>
    <w:p w14:paraId="7BC094B4" w14:textId="77777777" w:rsidR="00EF1BE8" w:rsidRPr="002C0C08" w:rsidRDefault="00342AB6" w:rsidP="00CC3390">
      <w:pPr>
        <w:pStyle w:val="ListParagraph"/>
        <w:numPr>
          <w:ilvl w:val="2"/>
          <w:numId w:val="11"/>
        </w:numPr>
        <w:tabs>
          <w:tab w:val="left" w:pos="1329"/>
        </w:tabs>
        <w:ind w:left="1328" w:right="333" w:hanging="360"/>
        <w:jc w:val="both"/>
        <w:rPr>
          <w:sz w:val="20"/>
          <w:szCs w:val="20"/>
        </w:rPr>
      </w:pPr>
      <w:r w:rsidRPr="002C0C08">
        <w:rPr>
          <w:sz w:val="20"/>
          <w:szCs w:val="20"/>
        </w:rPr>
        <w:t>A research program that has achieved emerging national recognition for its contributions to a particular field. While breadth of scope is important, the emphasis here is on contributions to a single field.</w:t>
      </w:r>
    </w:p>
    <w:p w14:paraId="2615C96F" w14:textId="77777777" w:rsidR="00EF1BE8" w:rsidRPr="002C0C08" w:rsidRDefault="00342AB6" w:rsidP="00CC3390">
      <w:pPr>
        <w:pStyle w:val="ListParagraph"/>
        <w:numPr>
          <w:ilvl w:val="2"/>
          <w:numId w:val="11"/>
        </w:numPr>
        <w:tabs>
          <w:tab w:val="left" w:pos="1291"/>
        </w:tabs>
        <w:ind w:left="1290" w:right="326" w:hanging="361"/>
        <w:jc w:val="both"/>
        <w:rPr>
          <w:sz w:val="20"/>
          <w:szCs w:val="20"/>
        </w:rPr>
      </w:pPr>
      <w:r w:rsidRPr="002C0C08">
        <w:rPr>
          <w:sz w:val="20"/>
          <w:szCs w:val="20"/>
        </w:rPr>
        <w:t>A substantial list of published materials in this field. A list need not be long to be substantial: quality is as important as quantity. Published materials must represent substantial work in the field.</w:t>
      </w:r>
    </w:p>
    <w:p w14:paraId="2CDD6D89" w14:textId="14B9A652" w:rsidR="00EF1BE8" w:rsidRPr="002C0C08" w:rsidRDefault="00342AB6" w:rsidP="00CC3390">
      <w:pPr>
        <w:pStyle w:val="ListParagraph"/>
        <w:numPr>
          <w:ilvl w:val="2"/>
          <w:numId w:val="11"/>
        </w:numPr>
        <w:tabs>
          <w:tab w:val="left" w:pos="1329"/>
        </w:tabs>
        <w:ind w:left="1329" w:right="133" w:hanging="361"/>
        <w:jc w:val="both"/>
        <w:rPr>
          <w:sz w:val="20"/>
          <w:szCs w:val="20"/>
        </w:rPr>
      </w:pPr>
      <w:r w:rsidRPr="002C0C08">
        <w:rPr>
          <w:sz w:val="20"/>
          <w:szCs w:val="20"/>
        </w:rPr>
        <w:t xml:space="preserve">Success in obtaining significant peer-reviewed external grant support for research is typically important for furthering the faculty member’s program of research and establishing </w:t>
      </w:r>
      <w:r w:rsidR="00C23F1A" w:rsidRPr="002C0C08">
        <w:rPr>
          <w:sz w:val="20"/>
          <w:szCs w:val="20"/>
        </w:rPr>
        <w:t>their</w:t>
      </w:r>
      <w:r w:rsidRPr="002C0C08">
        <w:rPr>
          <w:sz w:val="20"/>
          <w:szCs w:val="20"/>
        </w:rPr>
        <w:t xml:space="preserve"> emerging national reputation of research excellence (see Section E.4). Although grants typically are very important evidence of scholarship in many areas of science, the importance of grant funding in establishing a research program that achieves an emerging national reputation of research excellence varies between and within disciplines and should be substantively established at the Department level. In the case of collaborative grants with multiple investigators, the intellectual contributions made by the candidate must be clearly articulated.</w:t>
      </w:r>
    </w:p>
    <w:p w14:paraId="45BFDBD0" w14:textId="77777777" w:rsidR="00EF1BE8" w:rsidRPr="002C0C08" w:rsidRDefault="00342AB6" w:rsidP="00CC3390">
      <w:pPr>
        <w:pStyle w:val="ListParagraph"/>
        <w:numPr>
          <w:ilvl w:val="2"/>
          <w:numId w:val="11"/>
        </w:numPr>
        <w:tabs>
          <w:tab w:val="left" w:pos="1329"/>
        </w:tabs>
        <w:ind w:left="1328" w:hanging="360"/>
        <w:jc w:val="both"/>
        <w:rPr>
          <w:sz w:val="20"/>
          <w:szCs w:val="20"/>
        </w:rPr>
      </w:pPr>
      <w:r w:rsidRPr="002C0C08">
        <w:rPr>
          <w:sz w:val="20"/>
          <w:szCs w:val="20"/>
        </w:rPr>
        <w:t>A record demonstrating continuing development as a researcher.</w:t>
      </w:r>
    </w:p>
    <w:p w14:paraId="6C60997F" w14:textId="77777777" w:rsidR="00EF1BE8" w:rsidRPr="002C0C08" w:rsidRDefault="00342AB6" w:rsidP="00CC3390">
      <w:pPr>
        <w:pStyle w:val="ListParagraph"/>
        <w:numPr>
          <w:ilvl w:val="2"/>
          <w:numId w:val="11"/>
        </w:numPr>
        <w:tabs>
          <w:tab w:val="left" w:pos="1329"/>
        </w:tabs>
        <w:ind w:left="1328" w:right="878" w:hanging="360"/>
        <w:jc w:val="both"/>
        <w:rPr>
          <w:sz w:val="20"/>
          <w:szCs w:val="20"/>
        </w:rPr>
      </w:pPr>
      <w:r w:rsidRPr="002C0C08">
        <w:rPr>
          <w:sz w:val="20"/>
          <w:szCs w:val="20"/>
        </w:rPr>
        <w:t>A record demonstrating substantial involvement in the research program of the Department.</w:t>
      </w:r>
    </w:p>
    <w:p w14:paraId="50ED7C4C" w14:textId="201E2A31" w:rsidR="00EF1BE8" w:rsidRPr="002C0C08" w:rsidRDefault="00342AB6" w:rsidP="00F653A1">
      <w:pPr>
        <w:pStyle w:val="ListParagraph"/>
        <w:numPr>
          <w:ilvl w:val="2"/>
          <w:numId w:val="11"/>
        </w:numPr>
        <w:tabs>
          <w:tab w:val="left" w:pos="1329"/>
        </w:tabs>
        <w:ind w:left="1328" w:right="874" w:hanging="361"/>
        <w:jc w:val="both"/>
        <w:rPr>
          <w:sz w:val="20"/>
          <w:szCs w:val="20"/>
        </w:rPr>
      </w:pPr>
      <w:r w:rsidRPr="002C0C08">
        <w:rPr>
          <w:sz w:val="20"/>
          <w:szCs w:val="20"/>
        </w:rPr>
        <w:t>A research program demonstrating broader impact activities</w:t>
      </w:r>
      <w:r w:rsidR="008912C5" w:rsidRPr="008912C5">
        <w:rPr>
          <w:position w:val="7"/>
          <w:sz w:val="15"/>
          <w:szCs w:val="15"/>
        </w:rPr>
        <w:t>6</w:t>
      </w:r>
      <w:r w:rsidRPr="002C0C08">
        <w:rPr>
          <w:position w:val="7"/>
          <w:sz w:val="20"/>
          <w:szCs w:val="20"/>
        </w:rPr>
        <w:t xml:space="preserve"> </w:t>
      </w:r>
      <w:r w:rsidRPr="002C0C08">
        <w:rPr>
          <w:sz w:val="20"/>
          <w:szCs w:val="20"/>
        </w:rPr>
        <w:t>with potential to benefit society or advance desired societal outcomes</w:t>
      </w:r>
      <w:r w:rsidRPr="002C0C08">
        <w:rPr>
          <w:i/>
          <w:iCs/>
          <w:sz w:val="20"/>
          <w:szCs w:val="20"/>
        </w:rPr>
        <w:t xml:space="preserve">, </w:t>
      </w:r>
      <w:r w:rsidRPr="002C0C08">
        <w:rPr>
          <w:sz w:val="20"/>
          <w:szCs w:val="20"/>
        </w:rPr>
        <w:t xml:space="preserve">such as those aligned with campus values </w:t>
      </w:r>
      <w:r w:rsidR="00607905" w:rsidRPr="002C0C08">
        <w:rPr>
          <w:sz w:val="20"/>
          <w:szCs w:val="20"/>
        </w:rPr>
        <w:t xml:space="preserve">of </w:t>
      </w:r>
      <w:r w:rsidR="002B3D47" w:rsidRPr="002C0C08">
        <w:rPr>
          <w:color w:val="000000"/>
          <w:sz w:val="20"/>
          <w:szCs w:val="20"/>
        </w:rPr>
        <w:t xml:space="preserve">inclusivity, intellectual diversity, and equity that encourages broad participation from students of all backgrounds </w:t>
      </w:r>
      <w:r w:rsidRPr="002C0C08">
        <w:rPr>
          <w:sz w:val="20"/>
          <w:szCs w:val="20"/>
        </w:rPr>
        <w:t>or those involved with community-engaged scholarship.</w:t>
      </w:r>
    </w:p>
    <w:p w14:paraId="41C63D76" w14:textId="77777777" w:rsidR="00EF1BE8" w:rsidRPr="002C0C08" w:rsidRDefault="00342AB6" w:rsidP="008E3E71">
      <w:pPr>
        <w:pStyle w:val="ListParagraph"/>
        <w:numPr>
          <w:ilvl w:val="2"/>
          <w:numId w:val="11"/>
        </w:numPr>
        <w:tabs>
          <w:tab w:val="left" w:pos="1329"/>
        </w:tabs>
        <w:ind w:left="1328" w:hanging="361"/>
        <w:jc w:val="both"/>
        <w:rPr>
          <w:sz w:val="20"/>
          <w:szCs w:val="20"/>
        </w:rPr>
      </w:pPr>
      <w:r w:rsidRPr="002C0C08">
        <w:rPr>
          <w:sz w:val="20"/>
          <w:szCs w:val="20"/>
        </w:rPr>
        <w:t>Some form of peer evaluation demonstrating research excellence.</w:t>
      </w:r>
    </w:p>
    <w:p w14:paraId="6D30A724" w14:textId="77777777" w:rsidR="00EF1BE8" w:rsidRPr="002C0C08" w:rsidRDefault="00342AB6" w:rsidP="003F6108">
      <w:pPr>
        <w:pStyle w:val="ListParagraph"/>
        <w:numPr>
          <w:ilvl w:val="2"/>
          <w:numId w:val="11"/>
        </w:numPr>
        <w:tabs>
          <w:tab w:val="left" w:pos="1329"/>
        </w:tabs>
        <w:ind w:left="1328" w:right="138" w:hanging="360"/>
        <w:jc w:val="both"/>
        <w:rPr>
          <w:sz w:val="20"/>
          <w:szCs w:val="20"/>
        </w:rPr>
      </w:pPr>
      <w:r w:rsidRPr="002C0C08">
        <w:rPr>
          <w:sz w:val="20"/>
          <w:szCs w:val="20"/>
        </w:rPr>
        <w:t>National honors and/or awards recognizing research excellence, and national offices or leadership roles in research.</w:t>
      </w:r>
    </w:p>
    <w:p w14:paraId="7E88F0A8" w14:textId="12942F80" w:rsidR="00EF1BE8" w:rsidRPr="002C0C08" w:rsidRDefault="00342AB6" w:rsidP="003F6108">
      <w:pPr>
        <w:pStyle w:val="ListParagraph"/>
        <w:numPr>
          <w:ilvl w:val="2"/>
          <w:numId w:val="11"/>
        </w:numPr>
        <w:tabs>
          <w:tab w:val="left" w:pos="1329"/>
        </w:tabs>
        <w:ind w:left="1328" w:right="136" w:hanging="360"/>
        <w:jc w:val="both"/>
        <w:rPr>
          <w:sz w:val="20"/>
          <w:szCs w:val="20"/>
        </w:rPr>
      </w:pPr>
      <w:r w:rsidRPr="002C0C08">
        <w:rPr>
          <w:sz w:val="20"/>
          <w:szCs w:val="20"/>
        </w:rPr>
        <w:t>Substantive involvement in mentored research at any level (e.g., high school, undergraduate, graduate, and postdoctoral), including efforts to increase the participation, persistence, and success of students from diverse backgrounds, including under-represented</w:t>
      </w:r>
      <w:r w:rsidR="008912C5" w:rsidRPr="008912C5">
        <w:rPr>
          <w:position w:val="7"/>
          <w:sz w:val="15"/>
          <w:szCs w:val="15"/>
        </w:rPr>
        <w:t>5</w:t>
      </w:r>
      <w:r w:rsidR="008912C5">
        <w:rPr>
          <w:position w:val="7"/>
          <w:sz w:val="20"/>
          <w:szCs w:val="20"/>
        </w:rPr>
        <w:t xml:space="preserve"> </w:t>
      </w:r>
      <w:r w:rsidRPr="002C0C08">
        <w:rPr>
          <w:sz w:val="20"/>
          <w:szCs w:val="20"/>
        </w:rPr>
        <w:t>and first-generation students.</w:t>
      </w:r>
    </w:p>
    <w:p w14:paraId="6685627A" w14:textId="77777777" w:rsidR="00EF1BE8" w:rsidRPr="002C0C08" w:rsidRDefault="00EF1BE8" w:rsidP="00540549">
      <w:pPr>
        <w:pStyle w:val="BodyText"/>
        <w:rPr>
          <w:sz w:val="20"/>
          <w:szCs w:val="20"/>
        </w:rPr>
      </w:pPr>
    </w:p>
    <w:p w14:paraId="261FCF7E" w14:textId="77777777" w:rsidR="00EF1BE8" w:rsidRPr="002C0C08" w:rsidRDefault="00342AB6" w:rsidP="00540549">
      <w:pPr>
        <w:pStyle w:val="Heading4"/>
        <w:numPr>
          <w:ilvl w:val="1"/>
          <w:numId w:val="11"/>
        </w:numPr>
        <w:tabs>
          <w:tab w:val="left" w:pos="968"/>
          <w:tab w:val="left" w:pos="969"/>
        </w:tabs>
        <w:ind w:left="968" w:hanging="721"/>
        <w:rPr>
          <w:rFonts w:ascii="Times New Roman" w:hAnsi="Times New Roman" w:cs="Times New Roman"/>
          <w:sz w:val="20"/>
          <w:szCs w:val="20"/>
        </w:rPr>
      </w:pPr>
      <w:bookmarkStart w:id="24" w:name="3._Excellent_Performance_for_Promotion_t"/>
      <w:bookmarkEnd w:id="24"/>
      <w:r w:rsidRPr="002C0C08">
        <w:rPr>
          <w:rFonts w:ascii="Times New Roman" w:hAnsi="Times New Roman" w:cs="Times New Roman"/>
          <w:sz w:val="20"/>
          <w:szCs w:val="20"/>
        </w:rPr>
        <w:t>Excellent Performance for Promotion to Full Professor</w:t>
      </w:r>
    </w:p>
    <w:p w14:paraId="353394FC" w14:textId="7C682944" w:rsidR="00F47A98" w:rsidRPr="002C0C08" w:rsidRDefault="00342AB6" w:rsidP="00CC3390">
      <w:pPr>
        <w:ind w:left="968" w:right="259"/>
        <w:rPr>
          <w:sz w:val="20"/>
          <w:szCs w:val="20"/>
        </w:rPr>
      </w:pPr>
      <w:r w:rsidRPr="002C0C08">
        <w:rPr>
          <w:i/>
          <w:sz w:val="20"/>
          <w:szCs w:val="20"/>
          <w:u w:val="single"/>
        </w:rPr>
        <w:t>Excellent performance at this level</w:t>
      </w:r>
      <w:r w:rsidRPr="002C0C08">
        <w:rPr>
          <w:i/>
          <w:sz w:val="20"/>
          <w:szCs w:val="20"/>
        </w:rPr>
        <w:t xml:space="preserve"> is evidenced by the following criteria. </w:t>
      </w:r>
      <w:r w:rsidRPr="002C0C08">
        <w:rPr>
          <w:b/>
          <w:i/>
          <w:sz w:val="20"/>
          <w:szCs w:val="20"/>
        </w:rPr>
        <w:t>Evidence supporting the criteria should be presented but these are not a checklist; some criteria are more important than others, and differences in emphasis may depend on the discipline:</w:t>
      </w:r>
      <w:r w:rsidR="00F47A98" w:rsidRPr="002C0C08">
        <w:rPr>
          <w:b/>
          <w:i/>
          <w:sz w:val="20"/>
          <w:szCs w:val="20"/>
        </w:rPr>
        <w:t xml:space="preserve">  </w:t>
      </w:r>
    </w:p>
    <w:p w14:paraId="347FC4B7" w14:textId="45F76512" w:rsidR="00EF1BE8" w:rsidRPr="002C0C08" w:rsidRDefault="00342AB6" w:rsidP="00CC3390">
      <w:pPr>
        <w:pStyle w:val="ListParagraph"/>
        <w:numPr>
          <w:ilvl w:val="2"/>
          <w:numId w:val="11"/>
        </w:numPr>
        <w:tabs>
          <w:tab w:val="left" w:pos="1329"/>
        </w:tabs>
        <w:ind w:left="1328" w:right="332" w:hanging="360"/>
        <w:jc w:val="both"/>
        <w:rPr>
          <w:sz w:val="20"/>
          <w:szCs w:val="20"/>
        </w:rPr>
      </w:pPr>
      <w:r w:rsidRPr="002C0C08">
        <w:rPr>
          <w:sz w:val="20"/>
          <w:szCs w:val="20"/>
        </w:rPr>
        <w:t>A research program that has achieved national and international recognition for its seminal and sustained contributions to a particular field. While breadth of scope is important, the emphasis here is on profound contributions to a single field.</w:t>
      </w:r>
    </w:p>
    <w:p w14:paraId="24AA7860" w14:textId="77777777" w:rsidR="00EF1BE8" w:rsidRPr="002C0C08" w:rsidRDefault="00342AB6" w:rsidP="00CC3390">
      <w:pPr>
        <w:pStyle w:val="ListParagraph"/>
        <w:numPr>
          <w:ilvl w:val="2"/>
          <w:numId w:val="11"/>
        </w:numPr>
        <w:tabs>
          <w:tab w:val="left" w:pos="1329"/>
        </w:tabs>
        <w:ind w:left="1328" w:right="339" w:hanging="360"/>
        <w:jc w:val="both"/>
        <w:rPr>
          <w:sz w:val="20"/>
          <w:szCs w:val="20"/>
        </w:rPr>
      </w:pPr>
      <w:r w:rsidRPr="002C0C08">
        <w:rPr>
          <w:sz w:val="20"/>
          <w:szCs w:val="20"/>
        </w:rPr>
        <w:t>A substantial and consistent list of published materials in this field. A list need not be long to be substantial: quality is as important as quantity. Published materials must represent distinguished work in the field.</w:t>
      </w:r>
    </w:p>
    <w:p w14:paraId="3AD8B0D3" w14:textId="2C4D8B50" w:rsidR="00EF1BE8" w:rsidRPr="002C0C08" w:rsidRDefault="00342AB6" w:rsidP="00CC3390">
      <w:pPr>
        <w:pStyle w:val="ListParagraph"/>
        <w:numPr>
          <w:ilvl w:val="2"/>
          <w:numId w:val="11"/>
        </w:numPr>
        <w:tabs>
          <w:tab w:val="left" w:pos="1329"/>
        </w:tabs>
        <w:ind w:left="1328" w:right="337" w:hanging="360"/>
        <w:jc w:val="both"/>
        <w:rPr>
          <w:sz w:val="20"/>
          <w:szCs w:val="20"/>
        </w:rPr>
      </w:pPr>
      <w:r w:rsidRPr="002C0C08">
        <w:rPr>
          <w:sz w:val="20"/>
          <w:szCs w:val="20"/>
        </w:rPr>
        <w:t xml:space="preserve">Success in obtaining significant peer-reviewed external grant support for research is typically important for advancing the faculty member’s program of research and establishing </w:t>
      </w:r>
      <w:r w:rsidR="00C23F1A" w:rsidRPr="002C0C08">
        <w:rPr>
          <w:sz w:val="20"/>
          <w:szCs w:val="20"/>
        </w:rPr>
        <w:t>their</w:t>
      </w:r>
      <w:r w:rsidRPr="002C0C08">
        <w:rPr>
          <w:sz w:val="20"/>
          <w:szCs w:val="20"/>
        </w:rPr>
        <w:t xml:space="preserve"> sustained national reputation of research excellence (see Section E.4). Although grants typically are very important evidence of scholarship in many areas of science, the importance of grant funding in maintaining a research program that achieves a sustained national and international reputation of research excellence varies between and within disciplines and should be substantively established at the Department level. In the case of collaborative grants with multiple investigators, the intellectual contributions made by the candidate must be clearly </w:t>
      </w:r>
      <w:r w:rsidRPr="002C0C08">
        <w:rPr>
          <w:sz w:val="20"/>
          <w:szCs w:val="20"/>
        </w:rPr>
        <w:lastRenderedPageBreak/>
        <w:t>articulated.</w:t>
      </w:r>
    </w:p>
    <w:p w14:paraId="2604601A" w14:textId="77777777" w:rsidR="00EF1BE8" w:rsidRPr="002C0C08" w:rsidRDefault="00342AB6" w:rsidP="00CC3390">
      <w:pPr>
        <w:pStyle w:val="ListParagraph"/>
        <w:numPr>
          <w:ilvl w:val="2"/>
          <w:numId w:val="11"/>
        </w:numPr>
        <w:tabs>
          <w:tab w:val="left" w:pos="1329"/>
        </w:tabs>
        <w:ind w:left="1328" w:hanging="361"/>
        <w:jc w:val="both"/>
        <w:rPr>
          <w:sz w:val="20"/>
          <w:szCs w:val="20"/>
        </w:rPr>
      </w:pPr>
      <w:r w:rsidRPr="002C0C08">
        <w:rPr>
          <w:sz w:val="20"/>
          <w:szCs w:val="20"/>
        </w:rPr>
        <w:t>A record demonstrating sustained development as a researcher.</w:t>
      </w:r>
    </w:p>
    <w:p w14:paraId="10E789EF" w14:textId="77777777" w:rsidR="00EF1BE8" w:rsidRPr="002C0C08" w:rsidRDefault="00342AB6" w:rsidP="00CC3390">
      <w:pPr>
        <w:pStyle w:val="ListParagraph"/>
        <w:numPr>
          <w:ilvl w:val="2"/>
          <w:numId w:val="11"/>
        </w:numPr>
        <w:tabs>
          <w:tab w:val="left" w:pos="1329"/>
        </w:tabs>
        <w:ind w:left="1328" w:hanging="361"/>
        <w:jc w:val="both"/>
        <w:rPr>
          <w:sz w:val="20"/>
          <w:szCs w:val="20"/>
        </w:rPr>
      </w:pPr>
      <w:r w:rsidRPr="002C0C08">
        <w:rPr>
          <w:sz w:val="20"/>
          <w:szCs w:val="20"/>
        </w:rPr>
        <w:t>A record demonstrating a leadership role in the research program of the Department.</w:t>
      </w:r>
    </w:p>
    <w:p w14:paraId="1DA34A0D" w14:textId="4021C204" w:rsidR="00EF1BE8" w:rsidRPr="002C0C08" w:rsidRDefault="00342AB6" w:rsidP="00F653A1">
      <w:pPr>
        <w:pStyle w:val="ListParagraph"/>
        <w:numPr>
          <w:ilvl w:val="2"/>
          <w:numId w:val="11"/>
        </w:numPr>
        <w:tabs>
          <w:tab w:val="left" w:pos="1329"/>
        </w:tabs>
        <w:ind w:left="1328" w:right="874" w:hanging="360"/>
        <w:jc w:val="both"/>
        <w:rPr>
          <w:sz w:val="20"/>
          <w:szCs w:val="20"/>
        </w:rPr>
      </w:pPr>
      <w:r w:rsidRPr="002C0C08">
        <w:rPr>
          <w:sz w:val="20"/>
          <w:szCs w:val="20"/>
        </w:rPr>
        <w:t>A research program demonstrating broader impact activities</w:t>
      </w:r>
      <w:r w:rsidR="008912C5" w:rsidRPr="008912C5">
        <w:rPr>
          <w:position w:val="7"/>
          <w:sz w:val="15"/>
          <w:szCs w:val="15"/>
        </w:rPr>
        <w:t>6</w:t>
      </w:r>
      <w:r w:rsidRPr="002C0C08">
        <w:rPr>
          <w:position w:val="7"/>
          <w:sz w:val="20"/>
          <w:szCs w:val="20"/>
        </w:rPr>
        <w:t xml:space="preserve"> </w:t>
      </w:r>
      <w:r w:rsidRPr="002C0C08">
        <w:rPr>
          <w:sz w:val="20"/>
          <w:szCs w:val="20"/>
        </w:rPr>
        <w:t>with potential to benefit society or advance desired societal outcomes</w:t>
      </w:r>
      <w:r w:rsidRPr="002C0C08">
        <w:rPr>
          <w:i/>
          <w:iCs/>
          <w:sz w:val="20"/>
          <w:szCs w:val="20"/>
        </w:rPr>
        <w:t xml:space="preserve">, </w:t>
      </w:r>
      <w:r w:rsidRPr="002C0C08">
        <w:rPr>
          <w:sz w:val="20"/>
          <w:szCs w:val="20"/>
        </w:rPr>
        <w:t xml:space="preserve">such as those aligned with campus values of </w:t>
      </w:r>
      <w:r w:rsidR="008A3F94" w:rsidRPr="002C0C08">
        <w:rPr>
          <w:color w:val="000000"/>
          <w:sz w:val="20"/>
          <w:szCs w:val="20"/>
        </w:rPr>
        <w:t xml:space="preserve">inclusivity, intellectual diversity, and equity that encourages broad participation from students of all backgrounds </w:t>
      </w:r>
      <w:r w:rsidRPr="002C0C08">
        <w:rPr>
          <w:sz w:val="20"/>
          <w:szCs w:val="20"/>
        </w:rPr>
        <w:t>or those involved with community-engaged scholarship.</w:t>
      </w:r>
    </w:p>
    <w:p w14:paraId="1C5C9F5B" w14:textId="77777777" w:rsidR="00EF1BE8" w:rsidRPr="002C0C08" w:rsidRDefault="00342AB6" w:rsidP="003F6108">
      <w:pPr>
        <w:pStyle w:val="ListParagraph"/>
        <w:numPr>
          <w:ilvl w:val="2"/>
          <w:numId w:val="11"/>
        </w:numPr>
        <w:tabs>
          <w:tab w:val="left" w:pos="1329"/>
        </w:tabs>
        <w:ind w:left="1328" w:hanging="363"/>
        <w:jc w:val="both"/>
        <w:rPr>
          <w:sz w:val="20"/>
          <w:szCs w:val="20"/>
        </w:rPr>
      </w:pPr>
      <w:r w:rsidRPr="002C0C08">
        <w:rPr>
          <w:sz w:val="20"/>
          <w:szCs w:val="20"/>
        </w:rPr>
        <w:t>Some form of peer evaluation demonstrating distinction in research.</w:t>
      </w:r>
    </w:p>
    <w:p w14:paraId="285A163D" w14:textId="77777777" w:rsidR="00EF1BE8" w:rsidRPr="002C0C08" w:rsidRDefault="00342AB6" w:rsidP="003F6108">
      <w:pPr>
        <w:pStyle w:val="ListParagraph"/>
        <w:numPr>
          <w:ilvl w:val="2"/>
          <w:numId w:val="11"/>
        </w:numPr>
        <w:tabs>
          <w:tab w:val="left" w:pos="1327"/>
        </w:tabs>
        <w:ind w:left="1326" w:right="332" w:hanging="361"/>
        <w:jc w:val="both"/>
        <w:rPr>
          <w:sz w:val="20"/>
          <w:szCs w:val="20"/>
        </w:rPr>
      </w:pPr>
      <w:r w:rsidRPr="002C0C08">
        <w:rPr>
          <w:sz w:val="20"/>
          <w:szCs w:val="20"/>
        </w:rPr>
        <w:t>National and/or international honors and/or awards recognizing research excellence, invited presentations, and national and/or international offices or leadership roles in research.</w:t>
      </w:r>
    </w:p>
    <w:p w14:paraId="2313F422" w14:textId="746EB4E7" w:rsidR="00EF1BE8" w:rsidRPr="002C0C08" w:rsidRDefault="00342AB6" w:rsidP="00CC3390">
      <w:pPr>
        <w:pStyle w:val="ListParagraph"/>
        <w:numPr>
          <w:ilvl w:val="2"/>
          <w:numId w:val="11"/>
        </w:numPr>
        <w:tabs>
          <w:tab w:val="left" w:pos="1327"/>
        </w:tabs>
        <w:ind w:left="1326" w:right="333" w:hanging="360"/>
        <w:jc w:val="both"/>
        <w:rPr>
          <w:sz w:val="20"/>
          <w:szCs w:val="20"/>
        </w:rPr>
      </w:pPr>
      <w:r w:rsidRPr="002C0C08">
        <w:rPr>
          <w:sz w:val="20"/>
          <w:szCs w:val="20"/>
        </w:rPr>
        <w:t>Substantive involvement in mentored research at any level (e.g., high school, undergraduate, graduate, and postdoctoral), including efforts to increase the participation, persistence, and success of students from diverse backgrounds, including under-represented</w:t>
      </w:r>
      <w:r w:rsidR="008912C5" w:rsidRPr="008912C5">
        <w:rPr>
          <w:position w:val="7"/>
          <w:sz w:val="15"/>
          <w:szCs w:val="15"/>
        </w:rPr>
        <w:t>5</w:t>
      </w:r>
      <w:r w:rsidRPr="002C0C08">
        <w:rPr>
          <w:position w:val="7"/>
          <w:sz w:val="20"/>
          <w:szCs w:val="20"/>
        </w:rPr>
        <w:t xml:space="preserve"> </w:t>
      </w:r>
      <w:r w:rsidRPr="002C0C08">
        <w:rPr>
          <w:sz w:val="20"/>
          <w:szCs w:val="20"/>
        </w:rPr>
        <w:t>and first-generation students.</w:t>
      </w:r>
    </w:p>
    <w:p w14:paraId="4F898B40" w14:textId="77777777" w:rsidR="00EF1BE8" w:rsidRPr="002C0C08" w:rsidRDefault="00EF1BE8" w:rsidP="00CC3390">
      <w:pPr>
        <w:pStyle w:val="BodyText"/>
        <w:rPr>
          <w:sz w:val="20"/>
          <w:szCs w:val="20"/>
        </w:rPr>
      </w:pPr>
    </w:p>
    <w:p w14:paraId="6AAFFA5A" w14:textId="77777777" w:rsidR="00EF1BE8" w:rsidRPr="002C0C08" w:rsidRDefault="00342AB6" w:rsidP="00CC3390">
      <w:pPr>
        <w:pStyle w:val="BodyText"/>
        <w:ind w:left="246" w:right="627" w:hanging="1"/>
        <w:jc w:val="both"/>
        <w:rPr>
          <w:sz w:val="20"/>
          <w:szCs w:val="20"/>
        </w:rPr>
      </w:pPr>
      <w:r w:rsidRPr="002C0C08">
        <w:rPr>
          <w:sz w:val="20"/>
          <w:szCs w:val="20"/>
        </w:rPr>
        <w:t>Note that promotion to Full Professor implies that the candidate is recognized by their peers as a nationally and/or internationally recognized authority in their field of specialization.</w:t>
      </w:r>
    </w:p>
    <w:p w14:paraId="7C24424E" w14:textId="77777777" w:rsidR="00EF1BE8" w:rsidRPr="002C0C08" w:rsidRDefault="00EF1BE8" w:rsidP="00540549">
      <w:pPr>
        <w:pStyle w:val="BodyText"/>
        <w:rPr>
          <w:sz w:val="20"/>
          <w:szCs w:val="20"/>
        </w:rPr>
      </w:pPr>
    </w:p>
    <w:p w14:paraId="1610B4F5" w14:textId="77777777" w:rsidR="00EF1BE8" w:rsidRPr="002C0C08" w:rsidRDefault="00342AB6" w:rsidP="00CC3390">
      <w:pPr>
        <w:pStyle w:val="Heading1"/>
        <w:numPr>
          <w:ilvl w:val="0"/>
          <w:numId w:val="11"/>
        </w:numPr>
        <w:tabs>
          <w:tab w:val="left" w:pos="839"/>
          <w:tab w:val="left" w:pos="840"/>
        </w:tabs>
        <w:ind w:left="839" w:hanging="721"/>
        <w:rPr>
          <w:sz w:val="20"/>
          <w:szCs w:val="20"/>
        </w:rPr>
      </w:pPr>
      <w:bookmarkStart w:id="25" w:name="H._CRITERIA_FOR_SERVICE"/>
      <w:bookmarkEnd w:id="25"/>
      <w:r w:rsidRPr="002C0C08">
        <w:rPr>
          <w:sz w:val="20"/>
          <w:szCs w:val="20"/>
        </w:rPr>
        <w:t>CRITERIA FOR SERVICE</w:t>
      </w:r>
    </w:p>
    <w:p w14:paraId="19FACFFB" w14:textId="77777777" w:rsidR="00EF1BE8" w:rsidRPr="002C0C08" w:rsidRDefault="00EF1BE8" w:rsidP="00CC3390">
      <w:pPr>
        <w:pStyle w:val="BodyText"/>
        <w:rPr>
          <w:b/>
          <w:sz w:val="20"/>
          <w:szCs w:val="20"/>
        </w:rPr>
      </w:pPr>
    </w:p>
    <w:p w14:paraId="460993C5" w14:textId="77777777" w:rsidR="00EF1BE8" w:rsidRPr="002C0C08" w:rsidRDefault="00342AB6" w:rsidP="00CC3390">
      <w:pPr>
        <w:pStyle w:val="BodyText"/>
        <w:ind w:left="247" w:right="537" w:firstLine="1"/>
        <w:jc w:val="both"/>
        <w:rPr>
          <w:sz w:val="20"/>
          <w:szCs w:val="20"/>
        </w:rPr>
      </w:pPr>
      <w:r w:rsidRPr="002C0C08">
        <w:rPr>
          <w:sz w:val="20"/>
          <w:szCs w:val="20"/>
        </w:rPr>
        <w:t>Service can be defined in several ways. In higher education three broad categories of activities have come to be labeled and accepted as service:</w:t>
      </w:r>
    </w:p>
    <w:p w14:paraId="7876C042" w14:textId="77777777" w:rsidR="00EF1BE8" w:rsidRPr="002C0C08" w:rsidRDefault="00342AB6" w:rsidP="00CC3390">
      <w:pPr>
        <w:pStyle w:val="ListParagraph"/>
        <w:numPr>
          <w:ilvl w:val="0"/>
          <w:numId w:val="6"/>
        </w:numPr>
        <w:tabs>
          <w:tab w:val="left" w:pos="1329"/>
        </w:tabs>
        <w:ind w:right="248"/>
        <w:jc w:val="both"/>
        <w:rPr>
          <w:sz w:val="20"/>
          <w:szCs w:val="20"/>
        </w:rPr>
      </w:pPr>
      <w:r w:rsidRPr="002C0C08">
        <w:rPr>
          <w:i/>
          <w:sz w:val="20"/>
          <w:szCs w:val="20"/>
        </w:rPr>
        <w:t>College or University Service</w:t>
      </w:r>
      <w:r w:rsidRPr="002C0C08">
        <w:rPr>
          <w:sz w:val="20"/>
          <w:szCs w:val="20"/>
        </w:rPr>
        <w:t>: committee or other governance activities internal to the Department, college, School, or campus — related to program development and institutional policy.</w:t>
      </w:r>
    </w:p>
    <w:p w14:paraId="7EBAA00E" w14:textId="77777777" w:rsidR="00EF1BE8" w:rsidRPr="002C0C08" w:rsidRDefault="00342AB6" w:rsidP="00CC3390">
      <w:pPr>
        <w:pStyle w:val="ListParagraph"/>
        <w:numPr>
          <w:ilvl w:val="0"/>
          <w:numId w:val="6"/>
        </w:numPr>
        <w:tabs>
          <w:tab w:val="left" w:pos="1329"/>
        </w:tabs>
        <w:ind w:left="1329" w:right="248"/>
        <w:jc w:val="both"/>
        <w:rPr>
          <w:sz w:val="20"/>
          <w:szCs w:val="20"/>
        </w:rPr>
      </w:pPr>
      <w:r w:rsidRPr="002C0C08">
        <w:rPr>
          <w:i/>
          <w:sz w:val="20"/>
          <w:szCs w:val="20"/>
        </w:rPr>
        <w:t>Professional Service</w:t>
      </w:r>
      <w:r w:rsidRPr="002C0C08">
        <w:rPr>
          <w:sz w:val="20"/>
          <w:szCs w:val="20"/>
        </w:rPr>
        <w:t>: committee, editorial, or other work for national and/or regional professional associations and/or academic disciplines.</w:t>
      </w:r>
    </w:p>
    <w:p w14:paraId="589B317F" w14:textId="77777777" w:rsidR="00EF1BE8" w:rsidRPr="002C0C08" w:rsidRDefault="00342AB6" w:rsidP="00CC3390">
      <w:pPr>
        <w:pStyle w:val="ListParagraph"/>
        <w:numPr>
          <w:ilvl w:val="0"/>
          <w:numId w:val="6"/>
        </w:numPr>
        <w:tabs>
          <w:tab w:val="left" w:pos="1329"/>
        </w:tabs>
        <w:ind w:right="253" w:hanging="360"/>
        <w:jc w:val="both"/>
        <w:rPr>
          <w:sz w:val="20"/>
          <w:szCs w:val="20"/>
        </w:rPr>
      </w:pPr>
      <w:r w:rsidRPr="002C0C08">
        <w:rPr>
          <w:i/>
          <w:sz w:val="20"/>
          <w:szCs w:val="20"/>
        </w:rPr>
        <w:t>Public Service</w:t>
      </w:r>
      <w:r w:rsidRPr="002C0C08">
        <w:rPr>
          <w:sz w:val="20"/>
          <w:szCs w:val="20"/>
        </w:rPr>
        <w:t>: professional activities other than basic research and teaching involving direct relationships with groups external to the academic community.</w:t>
      </w:r>
    </w:p>
    <w:p w14:paraId="54C6AB14" w14:textId="71224CA3" w:rsidR="00EF1BE8" w:rsidRPr="002C0C08" w:rsidRDefault="000B7A7D" w:rsidP="00CC3390">
      <w:pPr>
        <w:pStyle w:val="BodyText"/>
        <w:ind w:left="248" w:right="312"/>
        <w:jc w:val="both"/>
        <w:rPr>
          <w:sz w:val="20"/>
          <w:szCs w:val="20"/>
        </w:rPr>
      </w:pPr>
      <w:r w:rsidRPr="002C0C08">
        <w:rPr>
          <w:sz w:val="20"/>
          <w:szCs w:val="20"/>
        </w:rPr>
        <w:br/>
      </w:r>
      <w:r w:rsidR="00342AB6" w:rsidRPr="002C0C08">
        <w:rPr>
          <w:sz w:val="20"/>
          <w:szCs w:val="20"/>
        </w:rPr>
        <w:t>While the faculty member who donates time and expertise to various professional or public groups, organizations, and agencies is viewed as engaging in professional or public service, the faculty member who is paid for such activities (beyond expenses) is not viewed as engaging in professional/public service. Excluded from public service activities are nonprofessional activities such as activities in Scouting or civic, religious and business organizations.</w:t>
      </w:r>
    </w:p>
    <w:p w14:paraId="649E0537" w14:textId="77777777" w:rsidR="00EF1BE8" w:rsidRPr="002C0C08" w:rsidRDefault="00EF1BE8" w:rsidP="00CC3390">
      <w:pPr>
        <w:pStyle w:val="BodyText"/>
        <w:rPr>
          <w:sz w:val="20"/>
          <w:szCs w:val="20"/>
        </w:rPr>
      </w:pPr>
    </w:p>
    <w:p w14:paraId="1D3AFEDA" w14:textId="77777777" w:rsidR="00EF1BE8" w:rsidRPr="002C0C08" w:rsidRDefault="00342AB6" w:rsidP="00CC3390">
      <w:pPr>
        <w:pStyle w:val="BodyText"/>
        <w:ind w:left="248"/>
        <w:rPr>
          <w:sz w:val="20"/>
          <w:szCs w:val="20"/>
        </w:rPr>
      </w:pPr>
      <w:r w:rsidRPr="002C0C08">
        <w:rPr>
          <w:sz w:val="20"/>
          <w:szCs w:val="20"/>
        </w:rPr>
        <w:t>The School of Science has established the following criteria for service. The relative weights of these</w:t>
      </w:r>
    </w:p>
    <w:p w14:paraId="3A83FF9D" w14:textId="2B206D0F" w:rsidR="00EF1BE8" w:rsidRPr="002C0C08" w:rsidRDefault="00342AB6" w:rsidP="00CC3390">
      <w:pPr>
        <w:pStyle w:val="BodyText"/>
        <w:ind w:left="248"/>
        <w:rPr>
          <w:sz w:val="20"/>
          <w:szCs w:val="20"/>
        </w:rPr>
      </w:pPr>
      <w:r w:rsidRPr="002C0C08">
        <w:rPr>
          <w:sz w:val="20"/>
          <w:szCs w:val="20"/>
        </w:rPr>
        <w:t>criteria vary according to disciplinary norms described in departmental guidelines.</w:t>
      </w:r>
    </w:p>
    <w:p w14:paraId="74F1F363" w14:textId="77777777" w:rsidR="00EF1BE8" w:rsidRPr="002C0C08" w:rsidRDefault="00EF1BE8" w:rsidP="00CC3390">
      <w:pPr>
        <w:pStyle w:val="BodyText"/>
        <w:rPr>
          <w:sz w:val="20"/>
          <w:szCs w:val="20"/>
        </w:rPr>
      </w:pPr>
    </w:p>
    <w:p w14:paraId="01131681" w14:textId="77777777" w:rsidR="00EF1BE8" w:rsidRPr="002C0C08" w:rsidRDefault="00342AB6" w:rsidP="00540549">
      <w:pPr>
        <w:pStyle w:val="Heading4"/>
        <w:numPr>
          <w:ilvl w:val="1"/>
          <w:numId w:val="11"/>
        </w:numPr>
        <w:tabs>
          <w:tab w:val="left" w:pos="968"/>
          <w:tab w:val="left" w:pos="969"/>
        </w:tabs>
        <w:ind w:left="968" w:hanging="670"/>
        <w:rPr>
          <w:rFonts w:ascii="Times New Roman" w:hAnsi="Times New Roman" w:cs="Times New Roman"/>
          <w:sz w:val="20"/>
          <w:szCs w:val="20"/>
        </w:rPr>
      </w:pPr>
      <w:bookmarkStart w:id="26" w:name="1._Satisfactory_Performance"/>
      <w:bookmarkEnd w:id="26"/>
      <w:r w:rsidRPr="002C0C08">
        <w:rPr>
          <w:rFonts w:ascii="Times New Roman" w:hAnsi="Times New Roman" w:cs="Times New Roman"/>
          <w:sz w:val="20"/>
          <w:szCs w:val="20"/>
        </w:rPr>
        <w:t>Satisfactory Performance</w:t>
      </w:r>
    </w:p>
    <w:p w14:paraId="5452F7F4" w14:textId="5A8F3EAB" w:rsidR="00EF1BE8" w:rsidRPr="002C0C08" w:rsidRDefault="00342AB6" w:rsidP="00A674AF">
      <w:pPr>
        <w:pStyle w:val="BodyText"/>
        <w:ind w:left="968" w:right="136"/>
        <w:jc w:val="both"/>
        <w:rPr>
          <w:sz w:val="20"/>
          <w:szCs w:val="20"/>
        </w:rPr>
      </w:pPr>
      <w:r w:rsidRPr="002C0C08">
        <w:rPr>
          <w:sz w:val="20"/>
          <w:szCs w:val="20"/>
        </w:rPr>
        <w:t>Satisfactory performance is indicated by the faculty member performing their fair share of department service. This will typically include membership on Department and School committees, as well as occasionally chairing a committee. Other typical service, depending on the Department, may include student advising and recruiting, contributions to efforts to enhance</w:t>
      </w:r>
      <w:r w:rsidR="00607905" w:rsidRPr="002C0C08">
        <w:rPr>
          <w:sz w:val="20"/>
          <w:szCs w:val="20"/>
        </w:rPr>
        <w:t xml:space="preserve"> </w:t>
      </w:r>
      <w:r w:rsidR="00607905" w:rsidRPr="002C0C08">
        <w:rPr>
          <w:color w:val="000000"/>
          <w:sz w:val="20"/>
          <w:szCs w:val="20"/>
        </w:rPr>
        <w:t>in</w:t>
      </w:r>
      <w:r w:rsidR="002B3D47" w:rsidRPr="002C0C08">
        <w:rPr>
          <w:color w:val="000000"/>
          <w:sz w:val="20"/>
          <w:szCs w:val="20"/>
        </w:rPr>
        <w:t xml:space="preserve">clusivity, intellectual diversity, and equity that encourages broad participation </w:t>
      </w:r>
      <w:r w:rsidRPr="002C0C08">
        <w:rPr>
          <w:sz w:val="20"/>
          <w:szCs w:val="20"/>
        </w:rPr>
        <w:t xml:space="preserve">in the Department, School, University, Profession, or Community (for examples, see Appendix C), </w:t>
      </w:r>
      <w:r w:rsidR="006C0DDA" w:rsidRPr="002C0C08">
        <w:rPr>
          <w:sz w:val="20"/>
          <w:szCs w:val="20"/>
        </w:rPr>
        <w:t xml:space="preserve">participation in clinical supervision of students as part of their expected clinical responsibilities, </w:t>
      </w:r>
      <w:r w:rsidRPr="002C0C08">
        <w:rPr>
          <w:sz w:val="20"/>
          <w:szCs w:val="20"/>
        </w:rPr>
        <w:t>occasional administrative responsibility for a Department or School program or special event, and occasional representation of the Department or School to other units or levels in the University. In other words, in order to claim satisfactory performance, the candidate must demonstrate that they have been an active participant in the service of the Department.</w:t>
      </w:r>
    </w:p>
    <w:p w14:paraId="0DFF221D" w14:textId="77777777" w:rsidR="00EF1BE8" w:rsidRPr="002C0C08" w:rsidRDefault="00EF1BE8" w:rsidP="008E3E71">
      <w:pPr>
        <w:pStyle w:val="BodyText"/>
        <w:rPr>
          <w:sz w:val="20"/>
          <w:szCs w:val="20"/>
        </w:rPr>
      </w:pPr>
    </w:p>
    <w:p w14:paraId="0FCC62A4" w14:textId="77777777" w:rsidR="00EF1BE8" w:rsidRPr="002C0C08" w:rsidRDefault="00342AB6" w:rsidP="00540549">
      <w:pPr>
        <w:pStyle w:val="Heading4"/>
        <w:numPr>
          <w:ilvl w:val="1"/>
          <w:numId w:val="11"/>
        </w:numPr>
        <w:tabs>
          <w:tab w:val="left" w:pos="968"/>
          <w:tab w:val="left" w:pos="969"/>
        </w:tabs>
        <w:ind w:left="968" w:hanging="529"/>
        <w:rPr>
          <w:rFonts w:ascii="Times New Roman" w:hAnsi="Times New Roman" w:cs="Times New Roman"/>
          <w:sz w:val="20"/>
          <w:szCs w:val="20"/>
        </w:rPr>
      </w:pPr>
      <w:bookmarkStart w:id="27" w:name="2._Excellent_Performance"/>
      <w:bookmarkEnd w:id="27"/>
      <w:r w:rsidRPr="002C0C08">
        <w:rPr>
          <w:rFonts w:ascii="Times New Roman" w:hAnsi="Times New Roman" w:cs="Times New Roman"/>
          <w:sz w:val="20"/>
          <w:szCs w:val="20"/>
        </w:rPr>
        <w:t>Excellent Performance</w:t>
      </w:r>
    </w:p>
    <w:p w14:paraId="2EF0F895" w14:textId="77777777" w:rsidR="00EF1BE8" w:rsidRPr="002C0C08" w:rsidRDefault="00342AB6" w:rsidP="00CC3390">
      <w:pPr>
        <w:pStyle w:val="BodyText"/>
        <w:ind w:left="968" w:right="387"/>
        <w:rPr>
          <w:sz w:val="20"/>
          <w:szCs w:val="20"/>
        </w:rPr>
      </w:pPr>
      <w:r w:rsidRPr="002C0C08">
        <w:rPr>
          <w:sz w:val="20"/>
          <w:szCs w:val="20"/>
        </w:rPr>
        <w:t>To qualify as excellent performance the candidate must give evidence of considerable influence at the Department, School, and University levels, and must have clear visibility in state, regional, and national circles.</w:t>
      </w:r>
    </w:p>
    <w:p w14:paraId="6D7D3F26" w14:textId="77777777" w:rsidR="00EF1BE8" w:rsidRPr="002C0C08" w:rsidRDefault="00EF1BE8" w:rsidP="008E3E71">
      <w:pPr>
        <w:pStyle w:val="BodyText"/>
        <w:rPr>
          <w:sz w:val="20"/>
          <w:szCs w:val="20"/>
        </w:rPr>
      </w:pPr>
    </w:p>
    <w:p w14:paraId="78EC7888" w14:textId="77777777" w:rsidR="00EF1BE8" w:rsidRPr="002C0C08" w:rsidRDefault="00342AB6" w:rsidP="00540549">
      <w:pPr>
        <w:ind w:left="968" w:right="259"/>
        <w:rPr>
          <w:b/>
          <w:i/>
          <w:sz w:val="20"/>
          <w:szCs w:val="20"/>
        </w:rPr>
      </w:pPr>
      <w:r w:rsidRPr="002C0C08">
        <w:rPr>
          <w:i/>
          <w:sz w:val="20"/>
          <w:szCs w:val="20"/>
          <w:u w:val="single"/>
        </w:rPr>
        <w:t xml:space="preserve">Excellent performance at this level </w:t>
      </w:r>
      <w:r w:rsidRPr="002C0C08">
        <w:rPr>
          <w:i/>
          <w:sz w:val="20"/>
          <w:szCs w:val="20"/>
        </w:rPr>
        <w:t xml:space="preserve">is evidenced by the following criteria. </w:t>
      </w:r>
      <w:r w:rsidRPr="002C0C08">
        <w:rPr>
          <w:b/>
          <w:i/>
          <w:sz w:val="20"/>
          <w:szCs w:val="20"/>
        </w:rPr>
        <w:t xml:space="preserve">Evidence supporting the criteria should be presented but these are not a checklist; some criteria are more important than </w:t>
      </w:r>
      <w:r w:rsidRPr="002C0C08">
        <w:rPr>
          <w:b/>
          <w:i/>
          <w:sz w:val="20"/>
          <w:szCs w:val="20"/>
        </w:rPr>
        <w:lastRenderedPageBreak/>
        <w:t>others, and differences in emphasis may depend on the discipline:</w:t>
      </w:r>
    </w:p>
    <w:p w14:paraId="22D8F09F" w14:textId="77777777" w:rsidR="00EF1BE8" w:rsidRPr="002C0C08" w:rsidRDefault="00342AB6" w:rsidP="00894AFF">
      <w:pPr>
        <w:pStyle w:val="ListParagraph"/>
        <w:numPr>
          <w:ilvl w:val="2"/>
          <w:numId w:val="11"/>
        </w:numPr>
        <w:tabs>
          <w:tab w:val="left" w:pos="1688"/>
          <w:tab w:val="left" w:pos="1689"/>
        </w:tabs>
        <w:ind w:left="1350" w:right="329" w:hanging="360"/>
        <w:rPr>
          <w:sz w:val="20"/>
          <w:szCs w:val="20"/>
        </w:rPr>
      </w:pPr>
      <w:r w:rsidRPr="002C0C08">
        <w:rPr>
          <w:sz w:val="20"/>
          <w:szCs w:val="20"/>
        </w:rPr>
        <w:t>A leadership role on committees and councils, especially at the School and University levels, as well as in the Department.</w:t>
      </w:r>
    </w:p>
    <w:p w14:paraId="7793B6EF" w14:textId="77777777" w:rsidR="00EF1BE8" w:rsidRPr="002C0C08" w:rsidRDefault="00342AB6" w:rsidP="00894AFF">
      <w:pPr>
        <w:pStyle w:val="ListParagraph"/>
        <w:numPr>
          <w:ilvl w:val="2"/>
          <w:numId w:val="11"/>
        </w:numPr>
        <w:tabs>
          <w:tab w:val="left" w:pos="1688"/>
          <w:tab w:val="left" w:pos="1689"/>
        </w:tabs>
        <w:ind w:left="1350" w:right="772" w:hanging="360"/>
        <w:rPr>
          <w:sz w:val="20"/>
          <w:szCs w:val="20"/>
        </w:rPr>
      </w:pPr>
      <w:r w:rsidRPr="002C0C08">
        <w:rPr>
          <w:sz w:val="20"/>
          <w:szCs w:val="20"/>
        </w:rPr>
        <w:t>Leadership and administrative responsibility for major programs and special events, especially at the School and University levels.</w:t>
      </w:r>
    </w:p>
    <w:p w14:paraId="78DDF159" w14:textId="77777777" w:rsidR="00EF1BE8" w:rsidRPr="002C0C08" w:rsidRDefault="00342AB6" w:rsidP="00894AFF">
      <w:pPr>
        <w:pStyle w:val="ListParagraph"/>
        <w:numPr>
          <w:ilvl w:val="2"/>
          <w:numId w:val="11"/>
        </w:numPr>
        <w:tabs>
          <w:tab w:val="left" w:pos="1688"/>
          <w:tab w:val="left" w:pos="1689"/>
        </w:tabs>
        <w:ind w:left="1350" w:right="884" w:hanging="360"/>
        <w:rPr>
          <w:sz w:val="20"/>
          <w:szCs w:val="20"/>
        </w:rPr>
      </w:pPr>
      <w:r w:rsidRPr="002C0C08">
        <w:rPr>
          <w:sz w:val="20"/>
          <w:szCs w:val="20"/>
        </w:rPr>
        <w:t>A major role in student-related activities such as recruiting, retention, and counseling.</w:t>
      </w:r>
    </w:p>
    <w:p w14:paraId="79FADDA0" w14:textId="77777777" w:rsidR="00607905" w:rsidRPr="002C0C08" w:rsidRDefault="00342AB6" w:rsidP="00894AFF">
      <w:pPr>
        <w:pStyle w:val="ListParagraph"/>
        <w:numPr>
          <w:ilvl w:val="2"/>
          <w:numId w:val="11"/>
        </w:numPr>
        <w:tabs>
          <w:tab w:val="left" w:pos="1689"/>
        </w:tabs>
        <w:ind w:left="1350" w:right="880" w:hanging="361"/>
        <w:jc w:val="both"/>
        <w:rPr>
          <w:sz w:val="20"/>
          <w:szCs w:val="20"/>
        </w:rPr>
      </w:pPr>
      <w:r w:rsidRPr="002C0C08">
        <w:rPr>
          <w:sz w:val="20"/>
          <w:szCs w:val="20"/>
        </w:rPr>
        <w:t xml:space="preserve">Sustained and effective efforts to enhance </w:t>
      </w:r>
      <w:r w:rsidR="0040538E" w:rsidRPr="002C0C08">
        <w:rPr>
          <w:color w:val="000000"/>
          <w:sz w:val="20"/>
          <w:szCs w:val="20"/>
        </w:rPr>
        <w:t xml:space="preserve">inclusivity, intellectual diversity, and equity </w:t>
      </w:r>
      <w:r w:rsidRPr="002C0C08">
        <w:rPr>
          <w:sz w:val="20"/>
          <w:szCs w:val="20"/>
        </w:rPr>
        <w:t>in the Department, School</w:t>
      </w:r>
      <w:r w:rsidRPr="002C0C08">
        <w:rPr>
          <w:sz w:val="20"/>
          <w:szCs w:val="20"/>
          <w:highlight w:val="lightGray"/>
        </w:rPr>
        <w:t>,</w:t>
      </w:r>
      <w:r w:rsidRPr="002C0C08">
        <w:rPr>
          <w:sz w:val="20"/>
          <w:szCs w:val="20"/>
        </w:rPr>
        <w:t xml:space="preserve"> University, Profession, or Community (for examples, see Appendix C).</w:t>
      </w:r>
    </w:p>
    <w:p w14:paraId="0E7563A0" w14:textId="77777777" w:rsidR="00607905" w:rsidRPr="002C0C08" w:rsidRDefault="008A3F94" w:rsidP="00894AFF">
      <w:pPr>
        <w:pStyle w:val="ListParagraph"/>
        <w:numPr>
          <w:ilvl w:val="2"/>
          <w:numId w:val="11"/>
        </w:numPr>
        <w:tabs>
          <w:tab w:val="left" w:pos="1689"/>
        </w:tabs>
        <w:ind w:left="1350" w:right="880" w:hanging="361"/>
        <w:jc w:val="both"/>
        <w:rPr>
          <w:sz w:val="20"/>
          <w:szCs w:val="20"/>
        </w:rPr>
      </w:pPr>
      <w:r w:rsidRPr="002C0C08">
        <w:rPr>
          <w:sz w:val="20"/>
          <w:szCs w:val="20"/>
        </w:rPr>
        <w:t>Frequent initiatives in the development of new academic programs and special events.</w:t>
      </w:r>
    </w:p>
    <w:p w14:paraId="1C15B9F2" w14:textId="77777777" w:rsidR="00607905" w:rsidRPr="002C0C08" w:rsidRDefault="008A3F94" w:rsidP="00894AFF">
      <w:pPr>
        <w:pStyle w:val="ListParagraph"/>
        <w:numPr>
          <w:ilvl w:val="2"/>
          <w:numId w:val="11"/>
        </w:numPr>
        <w:tabs>
          <w:tab w:val="left" w:pos="1689"/>
        </w:tabs>
        <w:ind w:left="1350" w:right="880" w:hanging="361"/>
        <w:jc w:val="both"/>
        <w:rPr>
          <w:sz w:val="20"/>
          <w:szCs w:val="20"/>
        </w:rPr>
      </w:pPr>
      <w:r w:rsidRPr="002C0C08">
        <w:rPr>
          <w:sz w:val="20"/>
          <w:szCs w:val="20"/>
        </w:rPr>
        <w:t>Service to state and national governmental offices or agencies, community partners, or other public organizations</w:t>
      </w:r>
      <w:r w:rsidRPr="002C0C08">
        <w:rPr>
          <w:color w:val="000000"/>
          <w:sz w:val="20"/>
          <w:szCs w:val="20"/>
        </w:rPr>
        <w:t xml:space="preserve">. </w:t>
      </w:r>
      <w:r w:rsidRPr="002C0C08">
        <w:rPr>
          <w:sz w:val="20"/>
          <w:szCs w:val="20"/>
        </w:rPr>
        <w:t>This might include grant review.</w:t>
      </w:r>
    </w:p>
    <w:p w14:paraId="562FCB26" w14:textId="77777777" w:rsidR="00607905" w:rsidRPr="002C0C08" w:rsidRDefault="008A3F94" w:rsidP="00894AFF">
      <w:pPr>
        <w:pStyle w:val="ListParagraph"/>
        <w:numPr>
          <w:ilvl w:val="2"/>
          <w:numId w:val="11"/>
        </w:numPr>
        <w:tabs>
          <w:tab w:val="left" w:pos="1689"/>
        </w:tabs>
        <w:ind w:left="1350" w:right="880" w:hanging="361"/>
        <w:jc w:val="both"/>
        <w:rPr>
          <w:sz w:val="20"/>
          <w:szCs w:val="20"/>
        </w:rPr>
      </w:pPr>
      <w:r w:rsidRPr="002C0C08">
        <w:rPr>
          <w:sz w:val="20"/>
          <w:szCs w:val="20"/>
        </w:rPr>
        <w:t>Initiative and leadership in public service to the community, and evidence of the influence of these activities on community programs and policies.</w:t>
      </w:r>
    </w:p>
    <w:p w14:paraId="041E821B" w14:textId="77777777" w:rsidR="00607905" w:rsidRPr="002C0C08" w:rsidRDefault="008A3F94" w:rsidP="00894AFF">
      <w:pPr>
        <w:pStyle w:val="ListParagraph"/>
        <w:numPr>
          <w:ilvl w:val="2"/>
          <w:numId w:val="11"/>
        </w:numPr>
        <w:tabs>
          <w:tab w:val="left" w:pos="1689"/>
        </w:tabs>
        <w:ind w:left="1350" w:right="880" w:hanging="361"/>
        <w:jc w:val="both"/>
        <w:rPr>
          <w:sz w:val="20"/>
          <w:szCs w:val="20"/>
        </w:rPr>
      </w:pPr>
      <w:r w:rsidRPr="002C0C08">
        <w:rPr>
          <w:sz w:val="20"/>
          <w:szCs w:val="20"/>
        </w:rPr>
        <w:t xml:space="preserve">Close and active service relationships with business and industry, </w:t>
      </w:r>
      <w:r w:rsidR="00336F0C" w:rsidRPr="002C0C08">
        <w:rPr>
          <w:sz w:val="20"/>
          <w:szCs w:val="20"/>
        </w:rPr>
        <w:t xml:space="preserve">which may include </w:t>
      </w:r>
      <w:r w:rsidRPr="002C0C08">
        <w:rPr>
          <w:sz w:val="20"/>
          <w:szCs w:val="20"/>
        </w:rPr>
        <w:t xml:space="preserve">the initiation and administration of research partnerships with the private sector or </w:t>
      </w:r>
      <w:r w:rsidRPr="002C0C08">
        <w:rPr>
          <w:color w:val="000000"/>
          <w:sz w:val="20"/>
          <w:szCs w:val="20"/>
        </w:rPr>
        <w:t>clinical practices that improve community health, patient care, or patient outcomes.</w:t>
      </w:r>
    </w:p>
    <w:p w14:paraId="17700EC8" w14:textId="77777777" w:rsidR="00607905" w:rsidRPr="002C0C08" w:rsidRDefault="008A3F94" w:rsidP="00894AFF">
      <w:pPr>
        <w:pStyle w:val="ListParagraph"/>
        <w:numPr>
          <w:ilvl w:val="2"/>
          <w:numId w:val="11"/>
        </w:numPr>
        <w:tabs>
          <w:tab w:val="left" w:pos="1689"/>
        </w:tabs>
        <w:ind w:left="1350" w:right="880" w:hanging="361"/>
        <w:jc w:val="both"/>
        <w:rPr>
          <w:sz w:val="20"/>
          <w:szCs w:val="20"/>
        </w:rPr>
      </w:pPr>
      <w:r w:rsidRPr="002C0C08">
        <w:rPr>
          <w:sz w:val="20"/>
          <w:szCs w:val="20"/>
        </w:rPr>
        <w:t>Service to professional societies with leadership roles (such as presidency of professional organizations) at the national level.</w:t>
      </w:r>
    </w:p>
    <w:p w14:paraId="24A98202" w14:textId="07EFD94D" w:rsidR="008A3F94" w:rsidRPr="002C0C08" w:rsidRDefault="008A3F94" w:rsidP="00894AFF">
      <w:pPr>
        <w:pStyle w:val="ListParagraph"/>
        <w:numPr>
          <w:ilvl w:val="2"/>
          <w:numId w:val="11"/>
        </w:numPr>
        <w:tabs>
          <w:tab w:val="left" w:pos="1689"/>
        </w:tabs>
        <w:ind w:left="1350" w:right="880" w:hanging="361"/>
        <w:jc w:val="both"/>
        <w:rPr>
          <w:sz w:val="20"/>
          <w:szCs w:val="20"/>
        </w:rPr>
      </w:pPr>
      <w:r w:rsidRPr="002C0C08">
        <w:rPr>
          <w:sz w:val="20"/>
          <w:szCs w:val="20"/>
        </w:rPr>
        <w:t>Service to an academic discipline in terms of the editorship of a major scientific publication, or office of a federal agency or foundation having to do with the sciences.</w:t>
      </w:r>
    </w:p>
    <w:p w14:paraId="3F91850B" w14:textId="4768AF86" w:rsidR="006D441B" w:rsidRPr="002C0C08" w:rsidRDefault="008A3F94" w:rsidP="00383438">
      <w:pPr>
        <w:rPr>
          <w:sz w:val="20"/>
          <w:szCs w:val="20"/>
          <w:highlight w:val="yellow"/>
        </w:rPr>
      </w:pPr>
      <w:r w:rsidRPr="002C0C08">
        <w:rPr>
          <w:color w:val="000000"/>
          <w:sz w:val="20"/>
          <w:szCs w:val="20"/>
        </w:rPr>
        <w:t xml:space="preserve">Leadership in clinical education or professional service, such as curriculum development; mentorship programs that enhance clinical skills; care of patients; ethical standards; or innovative clinical practices or technologies that improve patient care or outcomes.  </w:t>
      </w:r>
    </w:p>
    <w:p w14:paraId="043F9697" w14:textId="77777777" w:rsidR="00B05EBD" w:rsidRPr="002C0C08" w:rsidRDefault="00B05EBD" w:rsidP="00B05EBD">
      <w:pPr>
        <w:pStyle w:val="BodyText"/>
        <w:rPr>
          <w:b/>
          <w:bCs/>
          <w:sz w:val="20"/>
          <w:szCs w:val="20"/>
        </w:rPr>
      </w:pPr>
      <w:r w:rsidRPr="002C0C08">
        <w:rPr>
          <w:sz w:val="20"/>
          <w:szCs w:val="20"/>
          <w:highlight w:val="darkGray"/>
        </w:rPr>
        <w:br/>
      </w:r>
      <w:r w:rsidRPr="002C0C08">
        <w:rPr>
          <w:sz w:val="20"/>
          <w:szCs w:val="20"/>
          <w:highlight w:val="darkGray"/>
        </w:rPr>
        <w:br/>
      </w:r>
      <w:r w:rsidRPr="002C0C08">
        <w:rPr>
          <w:b/>
          <w:bCs/>
          <w:sz w:val="20"/>
          <w:szCs w:val="20"/>
        </w:rPr>
        <w:t xml:space="preserve">I.   CRITERIA FOR THE </w:t>
      </w:r>
      <w:r w:rsidRPr="002C0C08">
        <w:rPr>
          <w:rStyle w:val="Strong"/>
          <w:color w:val="000000"/>
          <w:sz w:val="20"/>
          <w:szCs w:val="20"/>
        </w:rPr>
        <w:t>BALANCED-INTEGRATIVE CASE-THEMATIC APPROACH</w:t>
      </w:r>
    </w:p>
    <w:p w14:paraId="1680E3B8" w14:textId="77777777" w:rsidR="00B05EBD" w:rsidRPr="002C0C08" w:rsidRDefault="00B05EBD" w:rsidP="00B05EBD">
      <w:pPr>
        <w:pStyle w:val="NormalWeb"/>
        <w:ind w:right="60"/>
        <w:jc w:val="both"/>
        <w:rPr>
          <w:b/>
          <w:color w:val="000000"/>
          <w:sz w:val="20"/>
          <w:szCs w:val="20"/>
        </w:rPr>
      </w:pPr>
      <w:r w:rsidRPr="002C0C08">
        <w:rPr>
          <w:color w:val="000000"/>
          <w:sz w:val="20"/>
          <w:szCs w:val="20"/>
        </w:rPr>
        <w:t xml:space="preserve">In this approach, candidates demonstrate how their teaching, research, and service activities are interconnected around a central theme. These elements do not need to be separated into distinct categories but should reflect how they work together to advance the candidate's overall goals. For example, a research grant might include components related to both teaching and service. </w:t>
      </w:r>
      <w:r w:rsidRPr="002C0C08">
        <w:rPr>
          <w:sz w:val="20"/>
          <w:szCs w:val="20"/>
        </w:rPr>
        <w:t xml:space="preserve">The general criteria for demonstrating accomplishments in each of these three areas of faculty work are presented in preceding sections F, G and H. </w:t>
      </w:r>
      <w:r w:rsidRPr="002C0C08">
        <w:rPr>
          <w:color w:val="000000"/>
          <w:sz w:val="20"/>
          <w:szCs w:val="20"/>
        </w:rPr>
        <w:t xml:space="preserve">Candidates will explain their integrative philosophy and how their key accomplishments have had measurable impact and quality. Promotion and tenure decisions will be based on scholarly outcomes rather than personal viewpoints. IU Indianapolis guidelines acknowledge the following areas or themes for recognition in the </w:t>
      </w:r>
      <w:r w:rsidRPr="002C0C08">
        <w:rPr>
          <w:rStyle w:val="Strong"/>
          <w:b w:val="0"/>
          <w:bCs w:val="0"/>
          <w:color w:val="000000"/>
          <w:sz w:val="20"/>
          <w:szCs w:val="20"/>
        </w:rPr>
        <w:t>Balanced-Integrative Case</w:t>
      </w:r>
      <w:r w:rsidRPr="002C0C08">
        <w:rPr>
          <w:b/>
          <w:color w:val="000000"/>
          <w:sz w:val="20"/>
          <w:szCs w:val="20"/>
        </w:rPr>
        <w:t xml:space="preserve"> </w:t>
      </w:r>
      <w:r w:rsidRPr="002C0C08">
        <w:rPr>
          <w:bCs/>
          <w:color w:val="000000"/>
          <w:sz w:val="20"/>
          <w:szCs w:val="20"/>
        </w:rPr>
        <w:t>promotion process (See the guidelines for the full list)</w:t>
      </w:r>
      <w:r w:rsidRPr="002C0C08">
        <w:rPr>
          <w:b/>
          <w:color w:val="000000"/>
          <w:sz w:val="20"/>
          <w:szCs w:val="20"/>
        </w:rPr>
        <w:t>:</w:t>
      </w:r>
    </w:p>
    <w:p w14:paraId="69ACBA8C" w14:textId="6106E44B" w:rsidR="00B05EBD" w:rsidRPr="002C0C08" w:rsidRDefault="00894AFF" w:rsidP="00B05EBD">
      <w:pPr>
        <w:pStyle w:val="NormalWeb"/>
        <w:ind w:right="60"/>
        <w:jc w:val="both"/>
        <w:rPr>
          <w:b/>
          <w:color w:val="000000"/>
          <w:sz w:val="20"/>
          <w:szCs w:val="20"/>
        </w:rPr>
      </w:pPr>
      <w:hyperlink r:id="rId15" w:history="1">
        <w:r w:rsidRPr="002C0C08">
          <w:rPr>
            <w:rStyle w:val="Hyperlink"/>
            <w:bCs/>
            <w:i/>
            <w:iCs/>
            <w:sz w:val="20"/>
            <w:szCs w:val="20"/>
          </w:rPr>
          <w:t>https://academicaffairs.indianapolis.iu.edu/Faculty-Affairs/PromotionTenure/guidelines-and-standards</w:t>
        </w:r>
      </w:hyperlink>
      <w:r w:rsidRPr="002C0C08">
        <w:rPr>
          <w:bCs/>
          <w:i/>
          <w:iCs/>
          <w:color w:val="000000"/>
          <w:sz w:val="20"/>
          <w:szCs w:val="20"/>
        </w:rPr>
        <w:t xml:space="preserve"> </w:t>
      </w:r>
      <w:r w:rsidR="00B05EBD" w:rsidRPr="002C0C08">
        <w:rPr>
          <w:bCs/>
          <w:i/>
          <w:iCs/>
          <w:color w:val="000000"/>
          <w:sz w:val="20"/>
          <w:szCs w:val="20"/>
        </w:rPr>
        <w:t xml:space="preserve"> </w:t>
      </w:r>
    </w:p>
    <w:p w14:paraId="227D6940" w14:textId="77777777" w:rsidR="00B05EBD" w:rsidRPr="002C0C08" w:rsidRDefault="00B05EBD" w:rsidP="00B05EBD">
      <w:pPr>
        <w:widowControl/>
        <w:numPr>
          <w:ilvl w:val="0"/>
          <w:numId w:val="53"/>
        </w:numPr>
        <w:autoSpaceDE/>
        <w:autoSpaceDN/>
        <w:spacing w:before="100" w:beforeAutospacing="1" w:after="100" w:afterAutospacing="1"/>
        <w:ind w:right="60"/>
        <w:jc w:val="both"/>
        <w:rPr>
          <w:b/>
          <w:color w:val="000000"/>
          <w:sz w:val="20"/>
          <w:szCs w:val="20"/>
        </w:rPr>
      </w:pPr>
      <w:r w:rsidRPr="002C0C08">
        <w:rPr>
          <w:rStyle w:val="Strong"/>
          <w:b w:val="0"/>
          <w:bCs w:val="0"/>
          <w:color w:val="000000"/>
          <w:sz w:val="20"/>
          <w:szCs w:val="20"/>
        </w:rPr>
        <w:t>Diversity, Equity, and Inclusion (</w:t>
      </w:r>
      <w:r w:rsidRPr="002C0C08">
        <w:rPr>
          <w:color w:val="000000"/>
          <w:sz w:val="20"/>
          <w:szCs w:val="20"/>
        </w:rPr>
        <w:t>Inclusivity, Intellectual Diversity, and Equity)</w:t>
      </w:r>
    </w:p>
    <w:p w14:paraId="403B6E4D" w14:textId="77777777" w:rsidR="00B05EBD" w:rsidRPr="002C0C08" w:rsidRDefault="00B05EBD" w:rsidP="00B05EBD">
      <w:pPr>
        <w:widowControl/>
        <w:numPr>
          <w:ilvl w:val="0"/>
          <w:numId w:val="53"/>
        </w:numPr>
        <w:autoSpaceDE/>
        <w:autoSpaceDN/>
        <w:spacing w:before="100" w:beforeAutospacing="1" w:after="100" w:afterAutospacing="1"/>
        <w:ind w:right="60"/>
        <w:jc w:val="both"/>
        <w:rPr>
          <w:b/>
          <w:color w:val="000000"/>
          <w:sz w:val="20"/>
          <w:szCs w:val="20"/>
        </w:rPr>
      </w:pPr>
      <w:r w:rsidRPr="002C0C08">
        <w:rPr>
          <w:rStyle w:val="Strong"/>
          <w:b w:val="0"/>
          <w:bCs w:val="0"/>
          <w:color w:val="000000"/>
          <w:sz w:val="20"/>
          <w:szCs w:val="20"/>
        </w:rPr>
        <w:t>Civic Engagement</w:t>
      </w:r>
    </w:p>
    <w:p w14:paraId="430366B3" w14:textId="77777777" w:rsidR="00B05EBD" w:rsidRPr="002C0C08" w:rsidRDefault="00B05EBD" w:rsidP="00B05EBD">
      <w:pPr>
        <w:widowControl/>
        <w:numPr>
          <w:ilvl w:val="0"/>
          <w:numId w:val="53"/>
        </w:numPr>
        <w:autoSpaceDE/>
        <w:autoSpaceDN/>
        <w:spacing w:before="100" w:beforeAutospacing="1" w:after="100" w:afterAutospacing="1"/>
        <w:ind w:right="60"/>
        <w:jc w:val="both"/>
        <w:rPr>
          <w:b/>
          <w:color w:val="000000"/>
          <w:sz w:val="20"/>
          <w:szCs w:val="20"/>
        </w:rPr>
      </w:pPr>
      <w:r w:rsidRPr="002C0C08">
        <w:rPr>
          <w:rStyle w:val="Strong"/>
          <w:b w:val="0"/>
          <w:bCs w:val="0"/>
          <w:color w:val="000000"/>
          <w:sz w:val="20"/>
          <w:szCs w:val="20"/>
        </w:rPr>
        <w:t>Translational Research</w:t>
      </w:r>
    </w:p>
    <w:p w14:paraId="7487BBFD" w14:textId="77777777" w:rsidR="00B05EBD" w:rsidRPr="002C0C08" w:rsidRDefault="00B05EBD" w:rsidP="00B05EBD">
      <w:pPr>
        <w:widowControl/>
        <w:numPr>
          <w:ilvl w:val="0"/>
          <w:numId w:val="53"/>
        </w:numPr>
        <w:autoSpaceDE/>
        <w:autoSpaceDN/>
        <w:spacing w:before="100" w:beforeAutospacing="1" w:after="100" w:afterAutospacing="1"/>
        <w:ind w:right="60"/>
        <w:jc w:val="both"/>
        <w:rPr>
          <w:bCs/>
          <w:color w:val="000000"/>
          <w:sz w:val="20"/>
          <w:szCs w:val="20"/>
        </w:rPr>
      </w:pPr>
      <w:r w:rsidRPr="002C0C08">
        <w:rPr>
          <w:rStyle w:val="Strong"/>
          <w:b w:val="0"/>
          <w:bCs w:val="0"/>
          <w:color w:val="000000"/>
          <w:sz w:val="20"/>
          <w:szCs w:val="20"/>
        </w:rPr>
        <w:t>Teaching Initiatives</w:t>
      </w:r>
      <w:r w:rsidRPr="002C0C08">
        <w:rPr>
          <w:rStyle w:val="apple-converted-space"/>
          <w:b/>
          <w:color w:val="000000"/>
          <w:sz w:val="20"/>
          <w:szCs w:val="20"/>
        </w:rPr>
        <w:t> </w:t>
      </w:r>
      <w:r w:rsidRPr="002C0C08">
        <w:rPr>
          <w:bCs/>
          <w:color w:val="000000"/>
          <w:sz w:val="20"/>
          <w:szCs w:val="20"/>
        </w:rPr>
        <w:t>(such as Honors College, Experiential Learning, etc.)</w:t>
      </w:r>
    </w:p>
    <w:p w14:paraId="55C8B9C7" w14:textId="4ECCEFD4" w:rsidR="00894AFF" w:rsidRPr="002C0C08" w:rsidRDefault="00B05EBD" w:rsidP="00B05EBD">
      <w:pPr>
        <w:pStyle w:val="NormalWeb"/>
        <w:ind w:right="60"/>
        <w:jc w:val="both"/>
        <w:rPr>
          <w:color w:val="000000"/>
          <w:sz w:val="20"/>
          <w:szCs w:val="20"/>
        </w:rPr>
      </w:pPr>
      <w:r w:rsidRPr="002C0C08">
        <w:rPr>
          <w:color w:val="000000"/>
          <w:sz w:val="20"/>
          <w:szCs w:val="20"/>
        </w:rPr>
        <w:t xml:space="preserve">Candidates may focus on one of these </w:t>
      </w:r>
      <w:r w:rsidR="00336F0C" w:rsidRPr="002C0C08">
        <w:rPr>
          <w:color w:val="000000"/>
          <w:sz w:val="20"/>
          <w:szCs w:val="20"/>
        </w:rPr>
        <w:t>themes</w:t>
      </w:r>
      <w:r w:rsidRPr="002C0C08">
        <w:rPr>
          <w:color w:val="000000"/>
          <w:sz w:val="20"/>
          <w:szCs w:val="20"/>
        </w:rPr>
        <w:t xml:space="preserve"> or another relevant to their unit’s goals. Strong cases will align with the unit's mission. The candidate’s dossier should describe their accomplishments in teaching, research, and service in relation to these areas</w:t>
      </w:r>
      <w:r w:rsidR="00FB0C46">
        <w:rPr>
          <w:color w:val="000000"/>
          <w:sz w:val="20"/>
          <w:szCs w:val="20"/>
        </w:rPr>
        <w:t>.</w:t>
      </w:r>
    </w:p>
    <w:p w14:paraId="411E5F9D" w14:textId="77777777" w:rsidR="00B05EBD" w:rsidRPr="002C0C08" w:rsidRDefault="00B05EBD" w:rsidP="00B05EBD">
      <w:pPr>
        <w:pStyle w:val="Heading3"/>
        <w:ind w:right="60"/>
        <w:jc w:val="both"/>
        <w:rPr>
          <w:color w:val="000000"/>
          <w:sz w:val="20"/>
          <w:szCs w:val="20"/>
        </w:rPr>
      </w:pPr>
      <w:r w:rsidRPr="002C0C08">
        <w:rPr>
          <w:color w:val="000000"/>
          <w:sz w:val="20"/>
          <w:szCs w:val="20"/>
        </w:rPr>
        <w:t>Characteristics of a Strong Balanced-Integrative Case</w:t>
      </w:r>
    </w:p>
    <w:p w14:paraId="4546E4D9" w14:textId="77777777" w:rsidR="00B05EBD" w:rsidRPr="002C0C08" w:rsidRDefault="00B05EBD" w:rsidP="00B05EBD">
      <w:pPr>
        <w:widowControl/>
        <w:numPr>
          <w:ilvl w:val="0"/>
          <w:numId w:val="54"/>
        </w:numPr>
        <w:autoSpaceDE/>
        <w:autoSpaceDN/>
        <w:spacing w:before="100" w:beforeAutospacing="1" w:after="100" w:afterAutospacing="1"/>
        <w:ind w:right="60"/>
        <w:jc w:val="both"/>
        <w:rPr>
          <w:color w:val="000000"/>
          <w:sz w:val="20"/>
          <w:szCs w:val="20"/>
        </w:rPr>
      </w:pPr>
      <w:r w:rsidRPr="002C0C08">
        <w:rPr>
          <w:color w:val="000000"/>
          <w:sz w:val="20"/>
          <w:szCs w:val="20"/>
        </w:rPr>
        <w:t>Evidence of satisfactory performance in teaching, research, and service.</w:t>
      </w:r>
    </w:p>
    <w:p w14:paraId="4BC6385D" w14:textId="77777777" w:rsidR="00B05EBD" w:rsidRPr="002C0C08" w:rsidRDefault="00B05EBD" w:rsidP="00B05EBD">
      <w:pPr>
        <w:widowControl/>
        <w:numPr>
          <w:ilvl w:val="0"/>
          <w:numId w:val="54"/>
        </w:numPr>
        <w:autoSpaceDE/>
        <w:autoSpaceDN/>
        <w:spacing w:before="100" w:beforeAutospacing="1" w:after="100" w:afterAutospacing="1"/>
        <w:ind w:right="60"/>
        <w:jc w:val="both"/>
        <w:rPr>
          <w:color w:val="000000"/>
          <w:sz w:val="20"/>
          <w:szCs w:val="20"/>
        </w:rPr>
      </w:pPr>
      <w:r w:rsidRPr="002C0C08">
        <w:rPr>
          <w:color w:val="000000"/>
          <w:sz w:val="20"/>
          <w:szCs w:val="20"/>
        </w:rPr>
        <w:t>A clear, defined theme that ties together teaching, research, and service.</w:t>
      </w:r>
    </w:p>
    <w:p w14:paraId="0E6D3855" w14:textId="77777777" w:rsidR="00B05EBD" w:rsidRPr="002C0C08" w:rsidRDefault="00B05EBD" w:rsidP="00B05EBD">
      <w:pPr>
        <w:widowControl/>
        <w:numPr>
          <w:ilvl w:val="0"/>
          <w:numId w:val="54"/>
        </w:numPr>
        <w:autoSpaceDE/>
        <w:autoSpaceDN/>
        <w:spacing w:before="100" w:beforeAutospacing="1" w:after="100" w:afterAutospacing="1"/>
        <w:ind w:right="60"/>
        <w:jc w:val="both"/>
        <w:rPr>
          <w:color w:val="000000"/>
          <w:sz w:val="20"/>
          <w:szCs w:val="20"/>
        </w:rPr>
      </w:pPr>
      <w:r w:rsidRPr="002C0C08">
        <w:rPr>
          <w:color w:val="000000"/>
          <w:sz w:val="20"/>
          <w:szCs w:val="20"/>
        </w:rPr>
        <w:t>Independence, innovation, and collaboration in their work, with a demonstrated role in a theme.</w:t>
      </w:r>
    </w:p>
    <w:p w14:paraId="0F16C19D" w14:textId="77777777" w:rsidR="00B05EBD" w:rsidRPr="002C0C08" w:rsidRDefault="00B05EBD" w:rsidP="00B05EBD">
      <w:pPr>
        <w:widowControl/>
        <w:numPr>
          <w:ilvl w:val="0"/>
          <w:numId w:val="54"/>
        </w:numPr>
        <w:autoSpaceDE/>
        <w:autoSpaceDN/>
        <w:spacing w:before="100" w:beforeAutospacing="1" w:after="100" w:afterAutospacing="1"/>
        <w:ind w:right="60"/>
        <w:jc w:val="both"/>
        <w:rPr>
          <w:color w:val="000000"/>
          <w:sz w:val="20"/>
          <w:szCs w:val="20"/>
        </w:rPr>
      </w:pPr>
      <w:r w:rsidRPr="002C0C08">
        <w:rPr>
          <w:b/>
          <w:bCs/>
          <w:color w:val="000000"/>
          <w:sz w:val="20"/>
          <w:szCs w:val="20"/>
        </w:rPr>
        <w:t>Excellence</w:t>
      </w:r>
      <w:r w:rsidRPr="002C0C08">
        <w:rPr>
          <w:color w:val="000000"/>
          <w:sz w:val="20"/>
          <w:szCs w:val="20"/>
        </w:rPr>
        <w:t xml:space="preserve"> in at least </w:t>
      </w:r>
      <w:r w:rsidRPr="002C0C08">
        <w:rPr>
          <w:b/>
          <w:bCs/>
          <w:color w:val="000000"/>
          <w:sz w:val="20"/>
          <w:szCs w:val="20"/>
        </w:rPr>
        <w:t xml:space="preserve">two </w:t>
      </w:r>
      <w:r w:rsidRPr="002C0C08">
        <w:rPr>
          <w:color w:val="000000"/>
          <w:sz w:val="20"/>
          <w:szCs w:val="20"/>
        </w:rPr>
        <w:t>of these areas is required for promotion and tenure.</w:t>
      </w:r>
    </w:p>
    <w:p w14:paraId="770E685E" w14:textId="537B7D64" w:rsidR="00B05EBD" w:rsidRPr="002C0C08" w:rsidRDefault="002C0C08" w:rsidP="00B05EBD">
      <w:pPr>
        <w:pStyle w:val="NormalWeb"/>
        <w:ind w:right="60"/>
        <w:jc w:val="both"/>
        <w:rPr>
          <w:b/>
          <w:bCs/>
          <w:color w:val="000000"/>
          <w:sz w:val="20"/>
          <w:szCs w:val="20"/>
        </w:rPr>
      </w:pPr>
      <w:r w:rsidRPr="002C0C08">
        <w:rPr>
          <w:b/>
          <w:bCs/>
          <w:color w:val="000000"/>
          <w:sz w:val="20"/>
          <w:szCs w:val="20"/>
        </w:rPr>
        <w:lastRenderedPageBreak/>
        <w:t xml:space="preserve">  </w:t>
      </w:r>
      <w:r w:rsidR="00B05EBD" w:rsidRPr="002C0C08">
        <w:rPr>
          <w:b/>
          <w:bCs/>
          <w:color w:val="000000"/>
          <w:sz w:val="20"/>
          <w:szCs w:val="20"/>
        </w:rPr>
        <w:t>Key criteria for demonstrating excellence include:</w:t>
      </w:r>
    </w:p>
    <w:p w14:paraId="7EC6D129" w14:textId="77777777" w:rsidR="00B05EBD" w:rsidRPr="002C0C08" w:rsidRDefault="00B05EBD" w:rsidP="00894AFF">
      <w:pPr>
        <w:widowControl/>
        <w:numPr>
          <w:ilvl w:val="0"/>
          <w:numId w:val="58"/>
        </w:numPr>
        <w:autoSpaceDE/>
        <w:autoSpaceDN/>
        <w:spacing w:before="100" w:beforeAutospacing="1" w:after="100" w:afterAutospacing="1"/>
        <w:ind w:right="60"/>
        <w:jc w:val="both"/>
        <w:rPr>
          <w:color w:val="000000"/>
          <w:sz w:val="20"/>
          <w:szCs w:val="20"/>
        </w:rPr>
      </w:pPr>
      <w:r w:rsidRPr="002C0C08">
        <w:rPr>
          <w:color w:val="000000"/>
          <w:sz w:val="20"/>
          <w:szCs w:val="20"/>
        </w:rPr>
        <w:t>An overarching approach to teaching, research, and service that advances the central theme.</w:t>
      </w:r>
    </w:p>
    <w:p w14:paraId="2C530B34" w14:textId="77777777" w:rsidR="00B05EBD" w:rsidRPr="002C0C08" w:rsidRDefault="00B05EBD" w:rsidP="00894AFF">
      <w:pPr>
        <w:widowControl/>
        <w:numPr>
          <w:ilvl w:val="0"/>
          <w:numId w:val="58"/>
        </w:numPr>
        <w:autoSpaceDE/>
        <w:autoSpaceDN/>
        <w:spacing w:before="100" w:beforeAutospacing="1" w:after="100" w:afterAutospacing="1"/>
        <w:ind w:right="60"/>
        <w:jc w:val="both"/>
        <w:rPr>
          <w:color w:val="000000"/>
          <w:sz w:val="20"/>
          <w:szCs w:val="20"/>
        </w:rPr>
      </w:pPr>
      <w:r w:rsidRPr="002C0C08">
        <w:rPr>
          <w:color w:val="000000"/>
          <w:sz w:val="20"/>
          <w:szCs w:val="20"/>
        </w:rPr>
        <w:t>A well-integrated record of accomplishments showing the interconnection between teaching, research, and service.</w:t>
      </w:r>
    </w:p>
    <w:p w14:paraId="08E1A6BB" w14:textId="77777777" w:rsidR="00B05EBD" w:rsidRPr="002C0C08" w:rsidRDefault="00B05EBD" w:rsidP="00894AFF">
      <w:pPr>
        <w:widowControl/>
        <w:numPr>
          <w:ilvl w:val="0"/>
          <w:numId w:val="58"/>
        </w:numPr>
        <w:autoSpaceDE/>
        <w:autoSpaceDN/>
        <w:spacing w:before="100" w:beforeAutospacing="1" w:after="100" w:afterAutospacing="1"/>
        <w:ind w:right="60"/>
        <w:jc w:val="both"/>
        <w:rPr>
          <w:color w:val="000000"/>
          <w:sz w:val="20"/>
          <w:szCs w:val="20"/>
        </w:rPr>
      </w:pPr>
      <w:r w:rsidRPr="002C0C08">
        <w:rPr>
          <w:color w:val="000000"/>
          <w:sz w:val="20"/>
          <w:szCs w:val="20"/>
        </w:rPr>
        <w:t>An essential role in collaborative activities and initiatives, with impacts on campus and in the broader community, consistent with the School of Science’s mission and vision.</w:t>
      </w:r>
    </w:p>
    <w:p w14:paraId="53C6096E" w14:textId="77777777" w:rsidR="00B05EBD" w:rsidRPr="002C0C08" w:rsidRDefault="00B05EBD" w:rsidP="00894AFF">
      <w:pPr>
        <w:widowControl/>
        <w:numPr>
          <w:ilvl w:val="0"/>
          <w:numId w:val="58"/>
        </w:numPr>
        <w:autoSpaceDE/>
        <w:autoSpaceDN/>
        <w:spacing w:before="100" w:beforeAutospacing="1" w:after="100" w:afterAutospacing="1"/>
        <w:ind w:right="60"/>
        <w:jc w:val="both"/>
        <w:rPr>
          <w:color w:val="000000"/>
          <w:sz w:val="20"/>
          <w:szCs w:val="20"/>
        </w:rPr>
      </w:pPr>
      <w:r w:rsidRPr="002C0C08">
        <w:rPr>
          <w:color w:val="000000"/>
          <w:sz w:val="20"/>
          <w:szCs w:val="20"/>
        </w:rPr>
        <w:t>Scholarly impact, typically demonstrated by peer-reviewed publications and grant awards, in line with departmental norms.</w:t>
      </w:r>
    </w:p>
    <w:p w14:paraId="6F64B552" w14:textId="77777777" w:rsidR="00B05EBD" w:rsidRPr="002C0C08" w:rsidRDefault="00B05EBD" w:rsidP="00894AFF">
      <w:pPr>
        <w:widowControl/>
        <w:numPr>
          <w:ilvl w:val="0"/>
          <w:numId w:val="58"/>
        </w:numPr>
        <w:autoSpaceDE/>
        <w:autoSpaceDN/>
        <w:spacing w:before="100" w:beforeAutospacing="1" w:after="100" w:afterAutospacing="1"/>
        <w:ind w:right="60"/>
        <w:jc w:val="both"/>
        <w:rPr>
          <w:color w:val="000000"/>
          <w:sz w:val="20"/>
          <w:szCs w:val="20"/>
        </w:rPr>
      </w:pPr>
      <w:r w:rsidRPr="002C0C08">
        <w:rPr>
          <w:color w:val="000000"/>
          <w:sz w:val="20"/>
          <w:szCs w:val="20"/>
        </w:rPr>
        <w:t>A cumulative record reflecting a strong overall contribution to the unit and university.</w:t>
      </w:r>
    </w:p>
    <w:p w14:paraId="058D0E5E" w14:textId="77777777" w:rsidR="00B05EBD" w:rsidRPr="002C0C08" w:rsidRDefault="00B05EBD" w:rsidP="00894AFF">
      <w:pPr>
        <w:widowControl/>
        <w:numPr>
          <w:ilvl w:val="0"/>
          <w:numId w:val="58"/>
        </w:numPr>
        <w:autoSpaceDE/>
        <w:autoSpaceDN/>
        <w:spacing w:before="100" w:beforeAutospacing="1" w:after="100" w:afterAutospacing="1"/>
        <w:ind w:right="60"/>
        <w:jc w:val="both"/>
        <w:rPr>
          <w:color w:val="000000"/>
          <w:sz w:val="20"/>
          <w:szCs w:val="20"/>
        </w:rPr>
      </w:pPr>
      <w:r w:rsidRPr="002C0C08">
        <w:rPr>
          <w:color w:val="000000"/>
          <w:sz w:val="20"/>
          <w:szCs w:val="20"/>
        </w:rPr>
        <w:t>Evidence of growth and a clear plan for continued development.</w:t>
      </w:r>
    </w:p>
    <w:p w14:paraId="78802E31" w14:textId="2704B0B6" w:rsidR="00EF1BE8" w:rsidRPr="002C0C08" w:rsidRDefault="00342AB6" w:rsidP="000C3264">
      <w:pPr>
        <w:pStyle w:val="BodyText"/>
        <w:ind w:left="298" w:right="138"/>
        <w:jc w:val="both"/>
        <w:rPr>
          <w:sz w:val="20"/>
          <w:szCs w:val="20"/>
        </w:rPr>
      </w:pPr>
      <w:r w:rsidRPr="002C0C08">
        <w:rPr>
          <w:sz w:val="20"/>
          <w:szCs w:val="20"/>
        </w:rPr>
        <w:t>Integrative excellence is demonstrated through a combination of campus and local impacts and a consistent record of scholarly work. Excellence is supported by external letters of evaluation as described in section E of these guidelines.</w:t>
      </w:r>
    </w:p>
    <w:p w14:paraId="68791605" w14:textId="77777777" w:rsidR="00EF1BE8" w:rsidRPr="002C0C08" w:rsidRDefault="00342AB6" w:rsidP="00894AFF">
      <w:pPr>
        <w:pStyle w:val="ListParagraph"/>
        <w:numPr>
          <w:ilvl w:val="0"/>
          <w:numId w:val="5"/>
        </w:numPr>
        <w:tabs>
          <w:tab w:val="left" w:pos="1560"/>
        </w:tabs>
        <w:ind w:left="450" w:hanging="181"/>
        <w:rPr>
          <w:sz w:val="20"/>
          <w:szCs w:val="20"/>
        </w:rPr>
      </w:pPr>
      <w:r w:rsidRPr="002C0C08">
        <w:rPr>
          <w:sz w:val="20"/>
          <w:szCs w:val="20"/>
        </w:rPr>
        <w:t>Promotion to associate professor requires an emerging national reputation.</w:t>
      </w:r>
    </w:p>
    <w:p w14:paraId="1C5CB3B1" w14:textId="3F6EA67C" w:rsidR="004566D4" w:rsidRPr="002C0C08" w:rsidRDefault="00342AB6" w:rsidP="00894AFF">
      <w:pPr>
        <w:pStyle w:val="ListParagraph"/>
        <w:numPr>
          <w:ilvl w:val="0"/>
          <w:numId w:val="5"/>
        </w:numPr>
        <w:tabs>
          <w:tab w:val="left" w:pos="1560"/>
        </w:tabs>
        <w:ind w:left="450" w:right="140" w:hanging="180"/>
        <w:jc w:val="both"/>
        <w:rPr>
          <w:sz w:val="20"/>
          <w:szCs w:val="20"/>
        </w:rPr>
      </w:pPr>
      <w:r w:rsidRPr="002C0C08">
        <w:rPr>
          <w:sz w:val="20"/>
          <w:szCs w:val="20"/>
        </w:rPr>
        <w:t>Promotion to full professor requires a sustained record of accomplishments and a well- established national reputation for integrative excellence.</w:t>
      </w:r>
    </w:p>
    <w:p w14:paraId="4B6A4AB3" w14:textId="77777777" w:rsidR="00EF1BE8" w:rsidRPr="002C0C08" w:rsidRDefault="00EF1BE8" w:rsidP="00540549">
      <w:pPr>
        <w:pStyle w:val="BodyText"/>
        <w:rPr>
          <w:sz w:val="20"/>
          <w:szCs w:val="20"/>
        </w:rPr>
      </w:pPr>
    </w:p>
    <w:p w14:paraId="5F09A17D" w14:textId="6F604852" w:rsidR="004566D4" w:rsidRPr="002C0C08" w:rsidRDefault="004566D4" w:rsidP="003F6108">
      <w:pPr>
        <w:rPr>
          <w:color w:val="000000"/>
          <w:sz w:val="20"/>
          <w:szCs w:val="20"/>
        </w:rPr>
      </w:pPr>
    </w:p>
    <w:p w14:paraId="47C0A319" w14:textId="77777777" w:rsidR="00EF1BE8" w:rsidRPr="002C0C08" w:rsidRDefault="00342AB6" w:rsidP="00540549">
      <w:pPr>
        <w:pStyle w:val="Heading1"/>
        <w:numPr>
          <w:ilvl w:val="0"/>
          <w:numId w:val="11"/>
        </w:numPr>
        <w:tabs>
          <w:tab w:val="left" w:pos="839"/>
          <w:tab w:val="left" w:pos="840"/>
        </w:tabs>
        <w:ind w:left="839" w:hanging="721"/>
        <w:rPr>
          <w:sz w:val="20"/>
          <w:szCs w:val="20"/>
        </w:rPr>
      </w:pPr>
      <w:bookmarkStart w:id="28" w:name="J._PREPARATION_OF_PROMOTION_AND_TENURE_D"/>
      <w:bookmarkEnd w:id="28"/>
      <w:r w:rsidRPr="002C0C08">
        <w:rPr>
          <w:sz w:val="20"/>
          <w:szCs w:val="20"/>
        </w:rPr>
        <w:t>PREPARATION OF PROMOTION AND TENURE DOSSIERS</w:t>
      </w:r>
    </w:p>
    <w:p w14:paraId="443DC967" w14:textId="58B257D4" w:rsidR="00EF1BE8" w:rsidRPr="002C0C08" w:rsidRDefault="00342AB6" w:rsidP="003F6108">
      <w:pPr>
        <w:pStyle w:val="BodyText"/>
        <w:ind w:left="299" w:right="138"/>
        <w:jc w:val="both"/>
        <w:rPr>
          <w:sz w:val="20"/>
          <w:szCs w:val="20"/>
        </w:rPr>
      </w:pPr>
      <w:r w:rsidRPr="002C0C08">
        <w:rPr>
          <w:sz w:val="20"/>
          <w:szCs w:val="20"/>
        </w:rPr>
        <w:t>Beginning with the 2021-2022 cycle, all candidate dossiers must be submitted through the</w:t>
      </w:r>
      <w:r w:rsidR="00F33BE5" w:rsidRPr="002C0C08">
        <w:rPr>
          <w:sz w:val="20"/>
          <w:szCs w:val="20"/>
        </w:rPr>
        <w:t xml:space="preserve"> appropriate online</w:t>
      </w:r>
      <w:r w:rsidRPr="002C0C08">
        <w:rPr>
          <w:sz w:val="20"/>
          <w:szCs w:val="20"/>
        </w:rPr>
        <w:t xml:space="preserve"> system at the beginning of the cycle. Instructions and guidelines for preparing and submitting materials via </w:t>
      </w:r>
      <w:r w:rsidR="00F33BE5" w:rsidRPr="002C0C08">
        <w:rPr>
          <w:sz w:val="20"/>
          <w:szCs w:val="20"/>
        </w:rPr>
        <w:t>appropriate online syste</w:t>
      </w:r>
      <w:r w:rsidR="00A32173" w:rsidRPr="002C0C08">
        <w:rPr>
          <w:sz w:val="20"/>
          <w:szCs w:val="20"/>
        </w:rPr>
        <w:t>m</w:t>
      </w:r>
      <w:r w:rsidRPr="002C0C08">
        <w:rPr>
          <w:sz w:val="20"/>
          <w:szCs w:val="20"/>
        </w:rPr>
        <w:t xml:space="preserve"> are available on the website of the Office of Academic Affairs. All candidates (and all Chairs or chair designees responsible for candidate oversight and for submission of administrative sections) are expected to be familiar with and to follow those instructions.</w:t>
      </w:r>
    </w:p>
    <w:p w14:paraId="11644DA9" w14:textId="77777777" w:rsidR="00EF1BE8" w:rsidRPr="002C0C08" w:rsidRDefault="00EF1BE8" w:rsidP="003F6108">
      <w:pPr>
        <w:pStyle w:val="BodyText"/>
        <w:rPr>
          <w:sz w:val="20"/>
          <w:szCs w:val="20"/>
        </w:rPr>
      </w:pPr>
    </w:p>
    <w:p w14:paraId="50040CAF" w14:textId="6B1FF2DD" w:rsidR="00EF1BE8" w:rsidRPr="002C0C08" w:rsidRDefault="00342AB6" w:rsidP="003F6108">
      <w:pPr>
        <w:ind w:left="298" w:right="123"/>
        <w:jc w:val="both"/>
        <w:rPr>
          <w:sz w:val="20"/>
          <w:szCs w:val="20"/>
        </w:rPr>
      </w:pPr>
      <w:r w:rsidRPr="002C0C08">
        <w:rPr>
          <w:sz w:val="20"/>
          <w:szCs w:val="20"/>
        </w:rPr>
        <w:t xml:space="preserve">Early in the process of developing materials for the promotion and tenure cycle, candidates should consult the </w:t>
      </w:r>
      <w:r w:rsidRPr="002C0C08">
        <w:rPr>
          <w:i/>
          <w:sz w:val="20"/>
          <w:szCs w:val="20"/>
        </w:rPr>
        <w:t xml:space="preserve">Chief Academic Officer’s Guidelines for Preparing and Reviewing Promotion and Tenure Dossier </w:t>
      </w:r>
      <w:r w:rsidRPr="002C0C08">
        <w:rPr>
          <w:sz w:val="20"/>
          <w:szCs w:val="20"/>
        </w:rPr>
        <w:t>(available on the Office of Academic Affairs website)</w:t>
      </w:r>
      <w:r w:rsidRPr="002C0C08">
        <w:rPr>
          <w:i/>
          <w:sz w:val="20"/>
          <w:szCs w:val="20"/>
        </w:rPr>
        <w:t xml:space="preserve">. </w:t>
      </w:r>
      <w:r w:rsidRPr="002C0C08">
        <w:rPr>
          <w:sz w:val="20"/>
          <w:szCs w:val="20"/>
        </w:rPr>
        <w:t xml:space="preserve">These Campus Guidelines are updated annually and define the policies and procedures, the formal guidelines, and roles and responsibilities of the candidates and of the faculty and administrators involved in the promotion and tenure process. These campus guidelines provide specific and detailed instructions for content, organization, and formatting of materials to be included when submitting material via </w:t>
      </w:r>
      <w:r w:rsidR="00F33BE5" w:rsidRPr="002C0C08">
        <w:rPr>
          <w:sz w:val="20"/>
          <w:szCs w:val="20"/>
        </w:rPr>
        <w:t>appropriate online system</w:t>
      </w:r>
      <w:r w:rsidR="00A32173" w:rsidRPr="002C0C08">
        <w:rPr>
          <w:sz w:val="20"/>
          <w:szCs w:val="20"/>
        </w:rPr>
        <w:t xml:space="preserve">. </w:t>
      </w:r>
      <w:r w:rsidR="00A32173" w:rsidRPr="002D762A">
        <w:rPr>
          <w:sz w:val="20"/>
          <w:szCs w:val="20"/>
        </w:rPr>
        <w:t xml:space="preserve"> </w:t>
      </w:r>
      <w:r w:rsidRPr="002D762A">
        <w:rPr>
          <w:sz w:val="20"/>
          <w:szCs w:val="20"/>
        </w:rPr>
        <w:t>It is the responsibility of the candidates to understand and adhere to the guidelines regarding content, formatting, page limits, organization, and placement of materials in folders</w:t>
      </w:r>
      <w:r w:rsidR="00F33BE5" w:rsidRPr="002D762A">
        <w:rPr>
          <w:sz w:val="20"/>
          <w:szCs w:val="20"/>
        </w:rPr>
        <w:t xml:space="preserve"> in the appropriate online system</w:t>
      </w:r>
      <w:r w:rsidRPr="002D762A">
        <w:rPr>
          <w:sz w:val="20"/>
          <w:szCs w:val="20"/>
        </w:rPr>
        <w:t xml:space="preserve">. It is important that the candidates understand and follow the campus guidelines governing the organization and formatting of the “official </w:t>
      </w:r>
      <w:r w:rsidR="00B8385B" w:rsidRPr="002D762A">
        <w:rPr>
          <w:sz w:val="20"/>
          <w:szCs w:val="20"/>
        </w:rPr>
        <w:t>Indiana University Indianapolis</w:t>
      </w:r>
      <w:r w:rsidRPr="002D762A">
        <w:rPr>
          <w:sz w:val="20"/>
          <w:szCs w:val="20"/>
        </w:rPr>
        <w:t xml:space="preserve">” Candidate CV, and to adhere to the designated ordering of activities by area and to follow the designated annotation conventions (e.g., the indicators designating key information such as ‘in rank” activities; products involving students). </w:t>
      </w:r>
      <w:r w:rsidRPr="002C0C08">
        <w:rPr>
          <w:sz w:val="20"/>
          <w:szCs w:val="20"/>
        </w:rPr>
        <w:t xml:space="preserve">In addition to the </w:t>
      </w:r>
      <w:r w:rsidRPr="002C0C08">
        <w:rPr>
          <w:i/>
          <w:sz w:val="20"/>
          <w:szCs w:val="20"/>
        </w:rPr>
        <w:t xml:space="preserve">Chief Academic Officer’s Guidelines for Preparing and Reviewing Promotion and Tenure Dossiers, </w:t>
      </w:r>
      <w:r w:rsidRPr="002C0C08">
        <w:rPr>
          <w:sz w:val="20"/>
          <w:szCs w:val="20"/>
        </w:rPr>
        <w:t>the School of Science provides the following general instructions.</w:t>
      </w:r>
    </w:p>
    <w:p w14:paraId="0849D145" w14:textId="799A5B4D" w:rsidR="00EF1BE8" w:rsidRPr="002C0C08" w:rsidRDefault="006D441B" w:rsidP="003F6108">
      <w:pPr>
        <w:jc w:val="both"/>
        <w:rPr>
          <w:sz w:val="20"/>
          <w:szCs w:val="20"/>
        </w:rPr>
      </w:pPr>
      <w:r w:rsidRPr="002C0C08">
        <w:rPr>
          <w:sz w:val="20"/>
          <w:szCs w:val="20"/>
        </w:rPr>
        <w:br/>
      </w:r>
      <w:bookmarkStart w:id="29" w:name="General_Items:"/>
      <w:bookmarkEnd w:id="29"/>
      <w:r w:rsidRPr="002C0C08">
        <w:rPr>
          <w:sz w:val="20"/>
          <w:szCs w:val="20"/>
        </w:rPr>
        <w:t>G</w:t>
      </w:r>
      <w:r w:rsidR="00342AB6" w:rsidRPr="002C0C08">
        <w:rPr>
          <w:sz w:val="20"/>
          <w:szCs w:val="20"/>
        </w:rPr>
        <w:t>eneral Items:</w:t>
      </w:r>
    </w:p>
    <w:p w14:paraId="12EE05A2" w14:textId="23A95546" w:rsidR="00EF1BE8" w:rsidRPr="002C0C08" w:rsidRDefault="00342AB6" w:rsidP="003F6108">
      <w:pPr>
        <w:pStyle w:val="ListParagraph"/>
        <w:numPr>
          <w:ilvl w:val="1"/>
          <w:numId w:val="11"/>
        </w:numPr>
        <w:tabs>
          <w:tab w:val="left" w:pos="1020"/>
        </w:tabs>
        <w:ind w:right="137" w:hanging="410"/>
        <w:jc w:val="both"/>
        <w:rPr>
          <w:b/>
          <w:sz w:val="20"/>
          <w:szCs w:val="20"/>
        </w:rPr>
      </w:pPr>
      <w:r w:rsidRPr="002C0C08">
        <w:rPr>
          <w:sz w:val="20"/>
          <w:szCs w:val="20"/>
        </w:rPr>
        <w:t xml:space="preserve">Promotion and tenure dossiers should be prepared by the candidates and the Department Chair, or their designee or designees. The overall structure of the dossier must be compliant with the </w:t>
      </w:r>
      <w:r w:rsidR="00B8385B" w:rsidRPr="002C0C08">
        <w:rPr>
          <w:sz w:val="20"/>
          <w:szCs w:val="20"/>
        </w:rPr>
        <w:t>Indiana University Indianapolis</w:t>
      </w:r>
      <w:r w:rsidRPr="002C0C08">
        <w:rPr>
          <w:i/>
          <w:sz w:val="20"/>
          <w:szCs w:val="20"/>
        </w:rPr>
        <w:t xml:space="preserve"> Chief Academic Officer’s Guidelines for Preparing and Reviewing Promotion and Tenure Dossiers </w:t>
      </w:r>
      <w:r w:rsidRPr="002C0C08">
        <w:rPr>
          <w:sz w:val="20"/>
          <w:szCs w:val="20"/>
        </w:rPr>
        <w:t xml:space="preserve">and the </w:t>
      </w:r>
      <w:r w:rsidR="00F33BE5" w:rsidRPr="002C0C08">
        <w:rPr>
          <w:sz w:val="20"/>
          <w:szCs w:val="20"/>
        </w:rPr>
        <w:t xml:space="preserve">appropriate online </w:t>
      </w:r>
      <w:r w:rsidRPr="002C0C08">
        <w:rPr>
          <w:sz w:val="20"/>
          <w:szCs w:val="20"/>
        </w:rPr>
        <w:t xml:space="preserve">system. The completed dossier needs to be uploaded to the </w:t>
      </w:r>
      <w:r w:rsidR="00F33BE5" w:rsidRPr="002C0C08">
        <w:rPr>
          <w:sz w:val="20"/>
          <w:szCs w:val="20"/>
        </w:rPr>
        <w:t xml:space="preserve">appropriate online </w:t>
      </w:r>
      <w:r w:rsidRPr="002C0C08">
        <w:rPr>
          <w:sz w:val="20"/>
          <w:szCs w:val="20"/>
        </w:rPr>
        <w:t>system by the candidate (the candidate’s part), followed by the Department Chair or Chair’s designee (the Chair’s administrative part). Once the candidate and administrative materials are submitted to</w:t>
      </w:r>
      <w:r w:rsidR="00F33BE5" w:rsidRPr="002C0C08">
        <w:rPr>
          <w:sz w:val="20"/>
          <w:szCs w:val="20"/>
        </w:rPr>
        <w:t xml:space="preserve"> the appropriate online system</w:t>
      </w:r>
      <w:r w:rsidRPr="002C0C08">
        <w:rPr>
          <w:sz w:val="20"/>
          <w:szCs w:val="20"/>
        </w:rPr>
        <w:t>, it is then routed sequentially to each level of review in the promotion and tenure process, requiring submission of reports and votes at each levels in succession, i.e., to the Primary Committee Chair (submitting the Primary Committee report and vote), the Department Chair (submitting the Chair’s report and vote), the Unit Committee Chair (submitting the Unit Committee report and vote) and then the Dean or Dean’s designee (submitting the Dean’s report and vote). Once the Dean’s report and vote is submitted, the dossier is forwarded on to the Campus level.</w:t>
      </w:r>
    </w:p>
    <w:p w14:paraId="505AC8DB" w14:textId="77777777" w:rsidR="00EF1BE8" w:rsidRPr="002C0C08" w:rsidRDefault="00EF1BE8" w:rsidP="003F6108">
      <w:pPr>
        <w:pStyle w:val="BodyText"/>
        <w:rPr>
          <w:sz w:val="20"/>
          <w:szCs w:val="20"/>
        </w:rPr>
      </w:pPr>
    </w:p>
    <w:p w14:paraId="45D84B75" w14:textId="77777777" w:rsidR="00EF1BE8" w:rsidRPr="002C0C08" w:rsidRDefault="00342AB6" w:rsidP="003F6108">
      <w:pPr>
        <w:pStyle w:val="ListParagraph"/>
        <w:numPr>
          <w:ilvl w:val="1"/>
          <w:numId w:val="11"/>
        </w:numPr>
        <w:tabs>
          <w:tab w:val="left" w:pos="1020"/>
        </w:tabs>
        <w:ind w:left="1019" w:right="137"/>
        <w:jc w:val="both"/>
        <w:rPr>
          <w:b/>
          <w:sz w:val="20"/>
          <w:szCs w:val="20"/>
        </w:rPr>
      </w:pPr>
      <w:r w:rsidRPr="002C0C08">
        <w:rPr>
          <w:sz w:val="20"/>
          <w:szCs w:val="20"/>
        </w:rPr>
        <w:lastRenderedPageBreak/>
        <w:t>Dossiers should be as concise, specific, and as focused as possible. Meaningless and insignificant items should be avoided. Candidates are encouraged to keep detailed records of their teaching, research, and service activities. Some forms of documentation (e.g., full peer reviews of teaching; complete listings of student comments on teaching; summary statements of grant reviews) are best placed in the appendix of the dossier, which does not have a page limit.</w:t>
      </w:r>
    </w:p>
    <w:p w14:paraId="15D38F70" w14:textId="77777777" w:rsidR="00EF1BE8" w:rsidRPr="002C0C08" w:rsidRDefault="00EF1BE8" w:rsidP="003F6108">
      <w:pPr>
        <w:pStyle w:val="BodyText"/>
        <w:rPr>
          <w:sz w:val="20"/>
          <w:szCs w:val="20"/>
        </w:rPr>
      </w:pPr>
    </w:p>
    <w:p w14:paraId="70327D8C" w14:textId="77777777" w:rsidR="00EF1BE8" w:rsidRPr="002C0C08" w:rsidRDefault="00342AB6" w:rsidP="003F6108">
      <w:pPr>
        <w:pStyle w:val="ListParagraph"/>
        <w:numPr>
          <w:ilvl w:val="1"/>
          <w:numId w:val="11"/>
        </w:numPr>
        <w:tabs>
          <w:tab w:val="left" w:pos="1020"/>
        </w:tabs>
        <w:ind w:left="1019" w:right="138"/>
        <w:jc w:val="both"/>
        <w:rPr>
          <w:b/>
          <w:sz w:val="20"/>
          <w:szCs w:val="20"/>
        </w:rPr>
      </w:pPr>
      <w:r w:rsidRPr="002C0C08">
        <w:rPr>
          <w:sz w:val="20"/>
          <w:szCs w:val="20"/>
        </w:rPr>
        <w:t>While some items and activities can be interpreted as evidence of scholarship and creative activity in more than one of the areas of teaching, research, and service, they should be cited in the dossier in only one context. This does not mean that a dossier cannot support multiple areas of accomplishment; it can. It simply means that care must be taken in assembling the dossier so that the justification of excellence in one area is clearly established and the dossier remains focused.</w:t>
      </w:r>
    </w:p>
    <w:p w14:paraId="5C075719" w14:textId="77777777" w:rsidR="00EF1BE8" w:rsidRPr="002C0C08" w:rsidRDefault="00EF1BE8" w:rsidP="003F6108">
      <w:pPr>
        <w:pStyle w:val="BodyText"/>
        <w:rPr>
          <w:sz w:val="20"/>
          <w:szCs w:val="20"/>
        </w:rPr>
      </w:pPr>
    </w:p>
    <w:p w14:paraId="20A54203" w14:textId="77777777" w:rsidR="00EF1BE8" w:rsidRPr="002C0C08" w:rsidRDefault="00342AB6" w:rsidP="003F6108">
      <w:pPr>
        <w:pStyle w:val="ListParagraph"/>
        <w:numPr>
          <w:ilvl w:val="1"/>
          <w:numId w:val="11"/>
        </w:numPr>
        <w:tabs>
          <w:tab w:val="left" w:pos="1020"/>
        </w:tabs>
        <w:ind w:right="137"/>
        <w:jc w:val="both"/>
        <w:rPr>
          <w:b/>
          <w:sz w:val="20"/>
          <w:szCs w:val="20"/>
        </w:rPr>
      </w:pPr>
      <w:r w:rsidRPr="002C0C08">
        <w:rPr>
          <w:sz w:val="20"/>
          <w:szCs w:val="20"/>
        </w:rPr>
        <w:t>Evaluation of the candidate’s record is very important. Dossiers should include evaluations of the candidate’s record in teaching, research, and service, the quality and significance of papers published, journals in which papers appear, the candidate’s contributions to joint papers, and the individuals who have been asked to write letters of evaluation. Where consulting activities are cited, an evaluation of the candidate’s involvement and the creative nature and/or significance of the consulting should be included. Quantitation in the absence of qualitative evaluation is not meaningful. Evaluation is discussed further in the next section.</w:t>
      </w:r>
    </w:p>
    <w:p w14:paraId="7EE21E17" w14:textId="77777777" w:rsidR="00EF1BE8" w:rsidRPr="002C0C08" w:rsidRDefault="00EF1BE8" w:rsidP="003F6108">
      <w:pPr>
        <w:pStyle w:val="BodyText"/>
        <w:rPr>
          <w:sz w:val="20"/>
          <w:szCs w:val="20"/>
        </w:rPr>
      </w:pPr>
    </w:p>
    <w:p w14:paraId="43A9509E" w14:textId="77777777" w:rsidR="00EF1BE8" w:rsidRPr="002C0C08" w:rsidRDefault="00342AB6" w:rsidP="003F6108">
      <w:pPr>
        <w:pStyle w:val="ListParagraph"/>
        <w:numPr>
          <w:ilvl w:val="1"/>
          <w:numId w:val="11"/>
        </w:numPr>
        <w:tabs>
          <w:tab w:val="left" w:pos="1020"/>
        </w:tabs>
        <w:ind w:left="1019" w:right="138"/>
        <w:jc w:val="both"/>
        <w:rPr>
          <w:b/>
          <w:sz w:val="20"/>
          <w:szCs w:val="20"/>
        </w:rPr>
      </w:pPr>
      <w:r w:rsidRPr="002C0C08">
        <w:rPr>
          <w:sz w:val="20"/>
          <w:szCs w:val="20"/>
        </w:rPr>
        <w:t>Evidence of a national and/or international reputation and recognition of the candidate as an authority in a field of specialization should be established for promotion to Full Professor. For promotion to Associate Professor, evidence should be provided that such recognition is emerging.</w:t>
      </w:r>
    </w:p>
    <w:p w14:paraId="51868567" w14:textId="77777777" w:rsidR="00EF1BE8" w:rsidRPr="002C0C08" w:rsidRDefault="00EF1BE8" w:rsidP="003F6108">
      <w:pPr>
        <w:pStyle w:val="BodyText"/>
        <w:rPr>
          <w:sz w:val="20"/>
          <w:szCs w:val="20"/>
        </w:rPr>
      </w:pPr>
    </w:p>
    <w:p w14:paraId="30B8AF9D" w14:textId="45901AC1" w:rsidR="00EF1BE8" w:rsidRPr="002C0C08" w:rsidRDefault="00342AB6" w:rsidP="000C3264">
      <w:pPr>
        <w:pStyle w:val="BodyText"/>
        <w:ind w:left="246"/>
        <w:rPr>
          <w:b/>
          <w:bCs/>
          <w:sz w:val="20"/>
          <w:szCs w:val="20"/>
        </w:rPr>
      </w:pPr>
      <w:r w:rsidRPr="002C0C08">
        <w:rPr>
          <w:b/>
          <w:bCs/>
          <w:sz w:val="20"/>
          <w:szCs w:val="20"/>
        </w:rPr>
        <w:t>Footnotes:</w:t>
      </w:r>
    </w:p>
    <w:p w14:paraId="6AA718AD" w14:textId="5C5F25EE" w:rsidR="00EF1BE8" w:rsidRPr="002C0C08" w:rsidRDefault="00A32173" w:rsidP="000C3264">
      <w:pPr>
        <w:rPr>
          <w:sz w:val="20"/>
          <w:szCs w:val="20"/>
        </w:rPr>
      </w:pPr>
      <w:r w:rsidRPr="002C0C08">
        <w:rPr>
          <w:sz w:val="20"/>
          <w:szCs w:val="20"/>
          <w:vertAlign w:val="superscript"/>
        </w:rPr>
        <w:t xml:space="preserve"> </w:t>
      </w:r>
      <w:r w:rsidRPr="002C0C08">
        <w:rPr>
          <w:sz w:val="20"/>
          <w:szCs w:val="20"/>
        </w:rPr>
        <w:t xml:space="preserve">    </w:t>
      </w:r>
      <w:r w:rsidRPr="002C0C08">
        <w:rPr>
          <w:sz w:val="20"/>
          <w:szCs w:val="20"/>
          <w:vertAlign w:val="superscript"/>
        </w:rPr>
        <w:t>1</w:t>
      </w:r>
      <w:hyperlink r:id="rId16" w:history="1">
        <w:r w:rsidRPr="002C0C08">
          <w:rPr>
            <w:rStyle w:val="Hyperlink"/>
            <w:sz w:val="20"/>
            <w:szCs w:val="20"/>
          </w:rPr>
          <w:t>https://policies.iu.edu</w:t>
        </w:r>
      </w:hyperlink>
    </w:p>
    <w:p w14:paraId="3E3FB871" w14:textId="2870FFBC" w:rsidR="00EF1BE8" w:rsidRPr="002D762A" w:rsidRDefault="00342AB6" w:rsidP="000C3264">
      <w:pPr>
        <w:ind w:left="245"/>
        <w:rPr>
          <w:i/>
          <w:iCs/>
          <w:sz w:val="20"/>
          <w:szCs w:val="20"/>
        </w:rPr>
      </w:pPr>
      <w:r w:rsidRPr="002D762A">
        <w:rPr>
          <w:i/>
          <w:iCs/>
          <w:sz w:val="20"/>
          <w:szCs w:val="20"/>
          <w:vertAlign w:val="superscript"/>
        </w:rPr>
        <w:t>2</w:t>
      </w:r>
      <w:r w:rsidRPr="002D762A">
        <w:rPr>
          <w:i/>
          <w:iCs/>
          <w:sz w:val="20"/>
          <w:szCs w:val="20"/>
        </w:rPr>
        <w:t>Ibid.</w:t>
      </w:r>
      <w:r w:rsidR="002D762A">
        <w:rPr>
          <w:i/>
          <w:iCs/>
          <w:sz w:val="20"/>
          <w:szCs w:val="20"/>
        </w:rPr>
        <w:t xml:space="preserve">, </w:t>
      </w:r>
      <w:hyperlink r:id="rId17" w:history="1">
        <w:r w:rsidRPr="002D762A">
          <w:rPr>
            <w:rStyle w:val="Hyperlink"/>
            <w:i/>
            <w:iCs/>
            <w:sz w:val="20"/>
            <w:szCs w:val="20"/>
          </w:rPr>
          <w:t>ACA-38</w:t>
        </w:r>
        <w:r w:rsidR="0040538E" w:rsidRPr="002D762A">
          <w:rPr>
            <w:rStyle w:val="Hyperlink"/>
            <w:i/>
            <w:iCs/>
            <w:sz w:val="20"/>
            <w:szCs w:val="20"/>
          </w:rPr>
          <w:t xml:space="preserve"> Faculty and Librarian Promotion</w:t>
        </w:r>
      </w:hyperlink>
    </w:p>
    <w:p w14:paraId="328233BE" w14:textId="3A90335D" w:rsidR="00201B3A" w:rsidRPr="002C0C08" w:rsidRDefault="002D762A" w:rsidP="000C3264">
      <w:pPr>
        <w:ind w:left="245"/>
        <w:jc w:val="both"/>
        <w:rPr>
          <w:i/>
          <w:sz w:val="20"/>
          <w:szCs w:val="20"/>
        </w:rPr>
      </w:pPr>
      <w:r>
        <w:rPr>
          <w:sz w:val="20"/>
          <w:szCs w:val="20"/>
          <w:vertAlign w:val="superscript"/>
        </w:rPr>
        <w:t>3</w:t>
      </w:r>
      <w:r w:rsidR="004104FF" w:rsidRPr="002C0C08">
        <w:rPr>
          <w:i/>
          <w:sz w:val="20"/>
          <w:szCs w:val="20"/>
        </w:rPr>
        <w:t>Ibid</w:t>
      </w:r>
      <w:r>
        <w:rPr>
          <w:i/>
          <w:sz w:val="20"/>
          <w:szCs w:val="20"/>
        </w:rPr>
        <w:t>.,</w:t>
      </w:r>
      <w:r w:rsidR="004104FF" w:rsidRPr="002C0C08">
        <w:rPr>
          <w:i/>
          <w:sz w:val="20"/>
          <w:szCs w:val="20"/>
        </w:rPr>
        <w:t xml:space="preserve"> </w:t>
      </w:r>
      <w:hyperlink r:id="rId18" w:history="1">
        <w:r w:rsidR="0040538E" w:rsidRPr="002C0C08">
          <w:rPr>
            <w:rStyle w:val="Hyperlink"/>
            <w:i/>
            <w:sz w:val="20"/>
            <w:szCs w:val="20"/>
          </w:rPr>
          <w:t>ACA-37 Faculty and Librarian Tenure</w:t>
        </w:r>
      </w:hyperlink>
    </w:p>
    <w:p w14:paraId="5D8D4676" w14:textId="3F720A10" w:rsidR="00EF1BE8" w:rsidRPr="002C0C08" w:rsidRDefault="002D762A" w:rsidP="008E3E71">
      <w:pPr>
        <w:ind w:left="245"/>
        <w:jc w:val="both"/>
        <w:rPr>
          <w:i/>
          <w:sz w:val="20"/>
          <w:szCs w:val="20"/>
          <w:vertAlign w:val="superscript"/>
        </w:rPr>
      </w:pPr>
      <w:r>
        <w:rPr>
          <w:i/>
          <w:sz w:val="20"/>
          <w:szCs w:val="20"/>
          <w:vertAlign w:val="superscript"/>
        </w:rPr>
        <w:t>4</w:t>
      </w:r>
      <w:r w:rsidR="004104FF" w:rsidRPr="002C0C08">
        <w:rPr>
          <w:i/>
          <w:sz w:val="20"/>
          <w:szCs w:val="20"/>
        </w:rPr>
        <w:t xml:space="preserve">As defined in the 12/21/20 IFC circular, an </w:t>
      </w:r>
      <w:r w:rsidR="004104FF" w:rsidRPr="002C0C08">
        <w:rPr>
          <w:i/>
          <w:sz w:val="20"/>
          <w:szCs w:val="20"/>
          <w:u w:val="single"/>
        </w:rPr>
        <w:t>equitable learning environment</w:t>
      </w:r>
      <w:r w:rsidR="004104FF" w:rsidRPr="002C0C08">
        <w:rPr>
          <w:i/>
          <w:sz w:val="20"/>
          <w:szCs w:val="20"/>
        </w:rPr>
        <w:t xml:space="preserve"> is one that promotes access, opportunity, and fairness through policies and practices that are appropriate for specific individuals and groups. An </w:t>
      </w:r>
      <w:r w:rsidR="004104FF" w:rsidRPr="002C0C08">
        <w:rPr>
          <w:i/>
          <w:sz w:val="20"/>
          <w:szCs w:val="20"/>
          <w:u w:val="single"/>
        </w:rPr>
        <w:t>inclusive learning environment</w:t>
      </w:r>
      <w:r w:rsidR="004104FF" w:rsidRPr="002C0C08">
        <w:rPr>
          <w:i/>
          <w:sz w:val="20"/>
          <w:szCs w:val="20"/>
        </w:rPr>
        <w:t xml:space="preserve"> ensures that the thoughts, opinions, perspectives, and experiences of all individuals are valued, heard, encouraged, respected, and considered.</w:t>
      </w:r>
    </w:p>
    <w:p w14:paraId="34B2542C" w14:textId="77777777" w:rsidR="002D762A" w:rsidRDefault="002D762A" w:rsidP="002D762A">
      <w:pPr>
        <w:ind w:left="248" w:right="133"/>
        <w:rPr>
          <w:i/>
          <w:sz w:val="20"/>
          <w:szCs w:val="20"/>
        </w:rPr>
      </w:pPr>
      <w:r>
        <w:rPr>
          <w:i/>
          <w:sz w:val="20"/>
          <w:szCs w:val="20"/>
          <w:vertAlign w:val="superscript"/>
        </w:rPr>
        <w:t>5</w:t>
      </w:r>
      <w:r w:rsidR="004104FF" w:rsidRPr="002C0C08">
        <w:rPr>
          <w:i/>
          <w:sz w:val="20"/>
          <w:szCs w:val="20"/>
        </w:rPr>
        <w:t xml:space="preserve">As defined in the 12/21/20 IFC circular, </w:t>
      </w:r>
      <w:r w:rsidR="004104FF" w:rsidRPr="002C0C08">
        <w:rPr>
          <w:i/>
          <w:sz w:val="20"/>
          <w:szCs w:val="20"/>
          <w:u w:val="single"/>
        </w:rPr>
        <w:t>under-represented</w:t>
      </w:r>
      <w:r w:rsidR="004104FF" w:rsidRPr="002C0C08">
        <w:rPr>
          <w:i/>
          <w:sz w:val="20"/>
          <w:szCs w:val="20"/>
        </w:rPr>
        <w:t xml:space="preserve"> groups include but are not limited to groups of differing “race, ethnicity, class, color, gender identity, gender expression, sexual orientation, age, size, disability, veteran status, national origin, religion, and/or marital status.”</w:t>
      </w:r>
      <w:r w:rsidR="002C0C08" w:rsidRPr="002C0C08">
        <w:rPr>
          <w:i/>
          <w:sz w:val="20"/>
          <w:szCs w:val="20"/>
        </w:rPr>
        <w:br/>
      </w:r>
      <w:r>
        <w:rPr>
          <w:i/>
          <w:sz w:val="20"/>
          <w:szCs w:val="20"/>
          <w:vertAlign w:val="superscript"/>
        </w:rPr>
        <w:t>6</w:t>
      </w:r>
      <w:r w:rsidR="00342AB6" w:rsidRPr="002C0C08">
        <w:rPr>
          <w:i/>
          <w:sz w:val="20"/>
          <w:szCs w:val="20"/>
        </w:rPr>
        <w:t xml:space="preserve">Broader Impacts refers to the potential for a research project to benefit society or advance desired societal outcomes. </w:t>
      </w:r>
      <w:hyperlink r:id="rId19" w:history="1">
        <w:r w:rsidR="00894AFF" w:rsidRPr="002C0C08">
          <w:rPr>
            <w:rStyle w:val="Hyperlink"/>
            <w:i/>
            <w:sz w:val="20"/>
            <w:szCs w:val="20"/>
          </w:rPr>
          <w:t>https://www.nsf.gov/funding/learn/broader-impacts</w:t>
        </w:r>
      </w:hyperlink>
      <w:r w:rsidR="00894AFF" w:rsidRPr="002C0C08">
        <w:rPr>
          <w:i/>
          <w:sz w:val="20"/>
          <w:szCs w:val="20"/>
        </w:rPr>
        <w:t xml:space="preserve"> </w:t>
      </w:r>
      <w:r w:rsidR="002B3D47" w:rsidRPr="002C0C08">
        <w:rPr>
          <w:i/>
          <w:sz w:val="20"/>
          <w:szCs w:val="20"/>
        </w:rPr>
        <w:t xml:space="preserve"> </w:t>
      </w:r>
      <w:r w:rsidR="00342AB6" w:rsidRPr="002C0C08">
        <w:rPr>
          <w:i/>
          <w:sz w:val="20"/>
          <w:szCs w:val="20"/>
        </w:rPr>
        <w:t>Those outcomes include, but are not limited to:</w:t>
      </w:r>
      <w:r w:rsidR="00FB0C46">
        <w:rPr>
          <w:i/>
          <w:sz w:val="20"/>
          <w:szCs w:val="20"/>
        </w:rPr>
        <w:br/>
      </w:r>
      <w:r w:rsidR="00FB0C46">
        <w:rPr>
          <w:i/>
          <w:sz w:val="20"/>
          <w:szCs w:val="20"/>
        </w:rPr>
        <w:br/>
      </w:r>
      <w:r w:rsidR="002C0C08" w:rsidRPr="002C0C08">
        <w:rPr>
          <w:i/>
          <w:iCs/>
          <w:sz w:val="20"/>
          <w:szCs w:val="20"/>
        </w:rPr>
        <w:t>Full participation of women, persons with disabilities, and underrepresented minorities; improved education and educator development at any level; increased public engagement and improved well-being of individuals in society; development of a diverse, globally competitive workforce; increased partnerships between academia, industry, and others; improved national security; increased economic competitiveness of the United States; and enhanced infrastructure for research and education.</w:t>
      </w:r>
    </w:p>
    <w:p w14:paraId="053EB188" w14:textId="77777777" w:rsidR="002D762A" w:rsidRDefault="002D762A" w:rsidP="002D762A">
      <w:pPr>
        <w:ind w:left="248" w:right="133"/>
        <w:rPr>
          <w:i/>
          <w:sz w:val="20"/>
          <w:szCs w:val="20"/>
        </w:rPr>
      </w:pPr>
    </w:p>
    <w:p w14:paraId="1E809A76" w14:textId="3853E32B" w:rsidR="00EF1BE8" w:rsidRPr="002C0C08" w:rsidRDefault="00342AB6" w:rsidP="002D762A">
      <w:pPr>
        <w:ind w:left="248" w:right="133"/>
        <w:rPr>
          <w:i/>
          <w:sz w:val="20"/>
          <w:szCs w:val="20"/>
        </w:rPr>
      </w:pPr>
      <w:r w:rsidRPr="002C0C08">
        <w:rPr>
          <w:i/>
          <w:sz w:val="20"/>
          <w:szCs w:val="20"/>
        </w:rPr>
        <w:t>Broader Impacts are described as a priority area in the National Science Foundation's (NSF) current strategic plan, but NSF is not the only funding agency with a Broader Impacts requirement. Many funders are asking their reviewers to assess the quality of a project's outreach and educational activities, public engagement or cross-institutional collaborations.</w:t>
      </w:r>
    </w:p>
    <w:p w14:paraId="46B26D12" w14:textId="1510909C" w:rsidR="00CF4E61" w:rsidRPr="002C0C08" w:rsidRDefault="00CF4E61" w:rsidP="00540549">
      <w:pPr>
        <w:jc w:val="both"/>
        <w:rPr>
          <w:sz w:val="20"/>
          <w:szCs w:val="20"/>
        </w:rPr>
        <w:sectPr w:rsidR="00CF4E61" w:rsidRPr="002C0C08" w:rsidSect="00081F5F">
          <w:headerReference w:type="default" r:id="rId20"/>
          <w:pgSz w:w="12240" w:h="15840"/>
          <w:pgMar w:top="1500" w:right="1540" w:bottom="900" w:left="1460" w:header="0" w:footer="680" w:gutter="0"/>
          <w:cols w:space="720"/>
        </w:sectPr>
      </w:pPr>
    </w:p>
    <w:p w14:paraId="460F1AF7" w14:textId="77777777" w:rsidR="00EF1BE8" w:rsidRPr="002C0C08" w:rsidRDefault="00342AB6" w:rsidP="008E3E71">
      <w:pPr>
        <w:pStyle w:val="Heading2"/>
        <w:spacing w:before="0"/>
        <w:ind w:right="1240"/>
        <w:rPr>
          <w:sz w:val="20"/>
          <w:szCs w:val="20"/>
        </w:rPr>
      </w:pPr>
      <w:r w:rsidRPr="002C0C08">
        <w:rPr>
          <w:sz w:val="20"/>
          <w:szCs w:val="20"/>
        </w:rPr>
        <w:lastRenderedPageBreak/>
        <w:t>APPENDIX A</w:t>
      </w:r>
    </w:p>
    <w:p w14:paraId="4C8A3DE3" w14:textId="77777777" w:rsidR="00EF1BE8" w:rsidRPr="002C0C08" w:rsidRDefault="00342AB6" w:rsidP="008E3E71">
      <w:pPr>
        <w:ind w:left="119" w:right="200"/>
        <w:rPr>
          <w:i/>
          <w:sz w:val="20"/>
          <w:szCs w:val="20"/>
        </w:rPr>
      </w:pPr>
      <w:r w:rsidRPr="002C0C08">
        <w:rPr>
          <w:i/>
          <w:sz w:val="20"/>
          <w:szCs w:val="20"/>
        </w:rPr>
        <w:t>This appendix contains letter templates to be used to solicit input from referees for candidates under consideration for promotion and/or tenure. The guidelines for use of these letters are contained in Section E.</w:t>
      </w:r>
    </w:p>
    <w:p w14:paraId="6E75043B" w14:textId="77777777" w:rsidR="00EF1BE8" w:rsidRPr="002C0C08" w:rsidRDefault="00EF1BE8" w:rsidP="008E3E71">
      <w:pPr>
        <w:pStyle w:val="BodyText"/>
        <w:rPr>
          <w:i/>
          <w:sz w:val="20"/>
          <w:szCs w:val="20"/>
        </w:rPr>
      </w:pPr>
    </w:p>
    <w:p w14:paraId="1A303250" w14:textId="77777777" w:rsidR="00EF1BE8" w:rsidRPr="002C0C08" w:rsidRDefault="00342AB6" w:rsidP="00540549">
      <w:pPr>
        <w:pStyle w:val="BodyText"/>
        <w:tabs>
          <w:tab w:val="left" w:pos="1679"/>
        </w:tabs>
        <w:ind w:left="119"/>
        <w:rPr>
          <w:sz w:val="20"/>
          <w:szCs w:val="20"/>
        </w:rPr>
      </w:pPr>
      <w:r w:rsidRPr="002C0C08">
        <w:rPr>
          <w:sz w:val="20"/>
          <w:szCs w:val="20"/>
        </w:rPr>
        <w:t xml:space="preserve">Date: </w:t>
      </w:r>
      <w:r w:rsidRPr="002C0C08">
        <w:rPr>
          <w:sz w:val="20"/>
          <w:szCs w:val="20"/>
          <w:u w:val="single"/>
        </w:rPr>
        <w:tab/>
      </w:r>
    </w:p>
    <w:p w14:paraId="4606E9AC" w14:textId="77777777" w:rsidR="00EF1BE8" w:rsidRPr="002C0C08" w:rsidRDefault="00EF1BE8" w:rsidP="008E3E71">
      <w:pPr>
        <w:pStyle w:val="BodyText"/>
        <w:rPr>
          <w:sz w:val="20"/>
          <w:szCs w:val="20"/>
        </w:rPr>
      </w:pPr>
    </w:p>
    <w:p w14:paraId="123F57AF" w14:textId="77777777" w:rsidR="00EF1BE8" w:rsidRPr="002C0C08" w:rsidRDefault="00342AB6" w:rsidP="008E3E71">
      <w:pPr>
        <w:pStyle w:val="BodyText"/>
        <w:tabs>
          <w:tab w:val="left" w:pos="1957"/>
        </w:tabs>
        <w:ind w:left="119"/>
        <w:rPr>
          <w:sz w:val="20"/>
          <w:szCs w:val="20"/>
        </w:rPr>
      </w:pPr>
      <w:r w:rsidRPr="002C0C08">
        <w:rPr>
          <w:sz w:val="20"/>
          <w:szCs w:val="20"/>
        </w:rPr>
        <w:t xml:space="preserve">Dear Dr. </w:t>
      </w:r>
      <w:r w:rsidRPr="002C0C08">
        <w:rPr>
          <w:sz w:val="20"/>
          <w:szCs w:val="20"/>
          <w:u w:val="single"/>
        </w:rPr>
        <w:tab/>
      </w:r>
      <w:r w:rsidRPr="002C0C08">
        <w:rPr>
          <w:sz w:val="20"/>
          <w:szCs w:val="20"/>
        </w:rPr>
        <w:t>,</w:t>
      </w:r>
    </w:p>
    <w:p w14:paraId="23139324" w14:textId="77777777" w:rsidR="00EF1BE8" w:rsidRPr="002C0C08" w:rsidRDefault="00EF1BE8" w:rsidP="008E3E71">
      <w:pPr>
        <w:pStyle w:val="BodyText"/>
        <w:rPr>
          <w:sz w:val="20"/>
          <w:szCs w:val="20"/>
        </w:rPr>
      </w:pPr>
    </w:p>
    <w:p w14:paraId="41009941" w14:textId="7377EFF3" w:rsidR="00EF1BE8" w:rsidRPr="002C0C08" w:rsidRDefault="00342AB6" w:rsidP="008E3E71">
      <w:pPr>
        <w:pStyle w:val="BodyText"/>
        <w:tabs>
          <w:tab w:val="left" w:pos="1892"/>
          <w:tab w:val="left" w:pos="2442"/>
        </w:tabs>
        <w:ind w:left="119" w:right="200" w:firstLine="720"/>
        <w:rPr>
          <w:sz w:val="20"/>
          <w:szCs w:val="20"/>
        </w:rPr>
      </w:pPr>
      <w:r w:rsidRPr="002C0C08">
        <w:rPr>
          <w:sz w:val="20"/>
          <w:szCs w:val="20"/>
          <w:u w:val="single"/>
        </w:rPr>
        <w:tab/>
      </w:r>
      <w:r w:rsidRPr="002C0C08">
        <w:rPr>
          <w:sz w:val="20"/>
          <w:szCs w:val="20"/>
        </w:rPr>
        <w:t xml:space="preserve"> is seeking promotion </w:t>
      </w:r>
      <w:r w:rsidRPr="002C0C08">
        <w:rPr>
          <w:sz w:val="20"/>
          <w:szCs w:val="20"/>
          <w:u w:val="single"/>
        </w:rPr>
        <w:t>and tenure</w:t>
      </w:r>
      <w:r w:rsidRPr="002C0C08">
        <w:rPr>
          <w:sz w:val="20"/>
          <w:szCs w:val="20"/>
        </w:rPr>
        <w:t xml:space="preserve"> on the basis of excellence in research in the Department of </w:t>
      </w:r>
      <w:r w:rsidRPr="002C0C08">
        <w:rPr>
          <w:sz w:val="20"/>
          <w:szCs w:val="20"/>
          <w:u w:val="single"/>
        </w:rPr>
        <w:tab/>
      </w:r>
      <w:r w:rsidRPr="002C0C08">
        <w:rPr>
          <w:sz w:val="20"/>
          <w:szCs w:val="20"/>
          <w:u w:val="single"/>
        </w:rPr>
        <w:tab/>
      </w:r>
      <w:r w:rsidRPr="002C0C08">
        <w:rPr>
          <w:sz w:val="20"/>
          <w:szCs w:val="20"/>
        </w:rPr>
        <w:t xml:space="preserve"> in the School of Science at Indiana University Indianapolis (</w:t>
      </w:r>
      <w:r w:rsidR="00B8385B" w:rsidRPr="002C0C08">
        <w:rPr>
          <w:sz w:val="20"/>
          <w:szCs w:val="20"/>
        </w:rPr>
        <w:t>Indiana University Indianapolis</w:t>
      </w:r>
      <w:r w:rsidRPr="002C0C08">
        <w:rPr>
          <w:sz w:val="20"/>
          <w:szCs w:val="20"/>
        </w:rPr>
        <w:t xml:space="preserve">). With this letter I have provided the </w:t>
      </w:r>
      <w:r w:rsidR="00B8385B" w:rsidRPr="002C0C08">
        <w:rPr>
          <w:sz w:val="20"/>
          <w:szCs w:val="20"/>
        </w:rPr>
        <w:t>Indiana University Indianapolis</w:t>
      </w:r>
      <w:r w:rsidRPr="002C0C08">
        <w:rPr>
          <w:sz w:val="20"/>
          <w:szCs w:val="20"/>
        </w:rPr>
        <w:t>/School/Department criteria for this case, as well as the candidate statement, curriculum vitae, and key dossier material. This material includes links to five significant publications, as well as other artifacts demonstrating research accomplishments.</w:t>
      </w:r>
    </w:p>
    <w:p w14:paraId="4F042FE6" w14:textId="77777777" w:rsidR="00EF1BE8" w:rsidRPr="002C0C08" w:rsidRDefault="00EF1BE8" w:rsidP="00540549">
      <w:pPr>
        <w:pStyle w:val="BodyText"/>
        <w:rPr>
          <w:sz w:val="20"/>
          <w:szCs w:val="20"/>
        </w:rPr>
      </w:pPr>
    </w:p>
    <w:p w14:paraId="6EAE69DC" w14:textId="0560659D" w:rsidR="00EF1BE8" w:rsidRPr="002C0C08" w:rsidRDefault="00342AB6" w:rsidP="00D03D26">
      <w:pPr>
        <w:pStyle w:val="BodyText"/>
        <w:ind w:left="119" w:right="210" w:firstLine="720"/>
        <w:rPr>
          <w:sz w:val="20"/>
          <w:szCs w:val="20"/>
        </w:rPr>
      </w:pPr>
      <w:r w:rsidRPr="002C0C08">
        <w:rPr>
          <w:sz w:val="20"/>
          <w:szCs w:val="20"/>
        </w:rPr>
        <w:t xml:space="preserve">Please provide your assessment of the candidate in light of these criteria, the information provided, and your knowledge of how this work fits into the discipline on a national and international basis. Please focus your review on the quality and impact of the candidate’s work. We are particularly interested in your evaluation of the significance and impact of the candidate’s work, and the quality of the journals and conferences in which it is presented. </w:t>
      </w:r>
      <w:r w:rsidR="008A5240" w:rsidRPr="002C0C08">
        <w:rPr>
          <w:rStyle w:val="Strong"/>
          <w:b w:val="0"/>
          <w:bCs w:val="0"/>
          <w:color w:val="000000"/>
          <w:sz w:val="20"/>
          <w:szCs w:val="20"/>
        </w:rPr>
        <w:t xml:space="preserve">In cases where the candidate's work includes patents, commercialization, or entrepreneurial impact, we welcome your insights on the significance and impact, real-world adoption, or influence </w:t>
      </w:r>
      <w:r w:rsidR="006D441B" w:rsidRPr="002C0C08">
        <w:rPr>
          <w:rStyle w:val="Strong"/>
          <w:b w:val="0"/>
          <w:bCs w:val="0"/>
          <w:color w:val="000000"/>
          <w:sz w:val="20"/>
          <w:szCs w:val="20"/>
        </w:rPr>
        <w:t>of those artifacts</w:t>
      </w:r>
      <w:r w:rsidR="008A5240" w:rsidRPr="002C0C08">
        <w:rPr>
          <w:rStyle w:val="Strong"/>
          <w:b w:val="0"/>
          <w:bCs w:val="0"/>
          <w:color w:val="000000"/>
          <w:sz w:val="20"/>
          <w:szCs w:val="20"/>
        </w:rPr>
        <w:t>.</w:t>
      </w:r>
      <w:r w:rsidR="008A5240" w:rsidRPr="002C0C08">
        <w:rPr>
          <w:rStyle w:val="Strong"/>
          <w:color w:val="000000"/>
          <w:sz w:val="20"/>
          <w:szCs w:val="20"/>
        </w:rPr>
        <w:t xml:space="preserve"> </w:t>
      </w:r>
      <w:r w:rsidRPr="002C0C08">
        <w:rPr>
          <w:sz w:val="20"/>
          <w:szCs w:val="20"/>
        </w:rPr>
        <w:t xml:space="preserve">We are not asking you to recommend for or against promotion </w:t>
      </w:r>
      <w:r w:rsidRPr="002C0C08">
        <w:rPr>
          <w:sz w:val="20"/>
          <w:szCs w:val="20"/>
          <w:u w:val="single"/>
        </w:rPr>
        <w:t>or tenure</w:t>
      </w:r>
      <w:r w:rsidRPr="002C0C08">
        <w:rPr>
          <w:sz w:val="20"/>
          <w:szCs w:val="20"/>
        </w:rPr>
        <w:t xml:space="preserve">, nor are we asking if the candidate might receive promotion </w:t>
      </w:r>
      <w:r w:rsidRPr="002C0C08">
        <w:rPr>
          <w:sz w:val="20"/>
          <w:szCs w:val="20"/>
          <w:u w:val="single"/>
        </w:rPr>
        <w:t>or tenure</w:t>
      </w:r>
      <w:r w:rsidRPr="002C0C08">
        <w:rPr>
          <w:sz w:val="20"/>
          <w:szCs w:val="20"/>
        </w:rPr>
        <w:t xml:space="preserve"> at your institution. We would, of course, appreciate any other comments you would like to make regarding</w:t>
      </w:r>
    </w:p>
    <w:p w14:paraId="34201EEC" w14:textId="77777777" w:rsidR="00EF1BE8" w:rsidRPr="002C0C08" w:rsidRDefault="00342AB6" w:rsidP="00D03D26">
      <w:pPr>
        <w:pStyle w:val="BodyText"/>
        <w:tabs>
          <w:tab w:val="left" w:pos="1172"/>
        </w:tabs>
        <w:ind w:left="119"/>
        <w:rPr>
          <w:sz w:val="20"/>
          <w:szCs w:val="20"/>
        </w:rPr>
      </w:pPr>
      <w:r w:rsidRPr="002C0C08">
        <w:rPr>
          <w:sz w:val="20"/>
          <w:szCs w:val="20"/>
          <w:u w:val="single"/>
        </w:rPr>
        <w:tab/>
      </w:r>
      <w:r w:rsidRPr="002C0C08">
        <w:rPr>
          <w:sz w:val="20"/>
          <w:szCs w:val="20"/>
        </w:rPr>
        <w:t>’s teaching and service.</w:t>
      </w:r>
    </w:p>
    <w:p w14:paraId="4F4F2344" w14:textId="77777777" w:rsidR="00EF1BE8" w:rsidRPr="002C0C08" w:rsidRDefault="00EF1BE8" w:rsidP="00D03D26">
      <w:pPr>
        <w:pStyle w:val="BodyText"/>
        <w:rPr>
          <w:sz w:val="20"/>
          <w:szCs w:val="20"/>
        </w:rPr>
      </w:pPr>
    </w:p>
    <w:p w14:paraId="2A08D83F" w14:textId="560DB935" w:rsidR="00EF1BE8" w:rsidRPr="002C0C08" w:rsidRDefault="00B8385B" w:rsidP="00540549">
      <w:pPr>
        <w:pStyle w:val="BodyText"/>
        <w:tabs>
          <w:tab w:val="left" w:pos="1993"/>
        </w:tabs>
        <w:ind w:left="118" w:right="260" w:firstLine="720"/>
        <w:rPr>
          <w:sz w:val="20"/>
          <w:szCs w:val="20"/>
        </w:rPr>
      </w:pPr>
      <w:r w:rsidRPr="002C0C08">
        <w:rPr>
          <w:sz w:val="20"/>
          <w:szCs w:val="20"/>
        </w:rPr>
        <w:t xml:space="preserve">Indiana University Indianapolis requires that requested references come from individuals with no close connections to the candidate (e.g., former or current mentors, students, recent co-authors, or research partners). Therefore, if such a connection exists, please let us know as soon as possible that you will not be able to serve as a reviewer in this case. If you are able to serve as a reviewer, please complete the External Referee Form and return it with your review summary. Also, please include a copy of your curriculum vitae or a brief biography to provide reviewers at all campus levels with a context for your comments. In order to complete </w:t>
      </w:r>
      <w:r w:rsidRPr="002C0C08">
        <w:rPr>
          <w:sz w:val="20"/>
          <w:szCs w:val="20"/>
          <w:u w:val="single"/>
        </w:rPr>
        <w:tab/>
      </w:r>
      <w:r w:rsidRPr="002C0C08">
        <w:rPr>
          <w:sz w:val="20"/>
          <w:szCs w:val="20"/>
        </w:rPr>
        <w:t>’s dossier for review, we would appreciate receiving your comments</w:t>
      </w:r>
    </w:p>
    <w:p w14:paraId="305CBBFC" w14:textId="77777777" w:rsidR="00EF1BE8" w:rsidRPr="002C0C08" w:rsidRDefault="00342AB6" w:rsidP="008E3E71">
      <w:pPr>
        <w:pStyle w:val="BodyText"/>
        <w:tabs>
          <w:tab w:val="left" w:pos="1381"/>
        </w:tabs>
        <w:ind w:left="118"/>
        <w:rPr>
          <w:sz w:val="20"/>
          <w:szCs w:val="20"/>
        </w:rPr>
      </w:pPr>
      <w:r w:rsidRPr="002C0C08">
        <w:rPr>
          <w:sz w:val="20"/>
          <w:szCs w:val="20"/>
        </w:rPr>
        <w:t>by</w:t>
      </w:r>
      <w:r w:rsidRPr="002C0C08">
        <w:rPr>
          <w:sz w:val="20"/>
          <w:szCs w:val="20"/>
          <w:u w:val="single"/>
        </w:rPr>
        <w:tab/>
      </w:r>
      <w:r w:rsidRPr="002C0C08">
        <w:rPr>
          <w:sz w:val="20"/>
          <w:szCs w:val="20"/>
        </w:rPr>
        <w:t>.</w:t>
      </w:r>
    </w:p>
    <w:p w14:paraId="70A476E1" w14:textId="77777777" w:rsidR="00EF1BE8" w:rsidRPr="002C0C08" w:rsidRDefault="00EF1BE8" w:rsidP="008E3E71">
      <w:pPr>
        <w:pStyle w:val="BodyText"/>
        <w:rPr>
          <w:sz w:val="20"/>
          <w:szCs w:val="20"/>
        </w:rPr>
      </w:pPr>
    </w:p>
    <w:p w14:paraId="707188C0" w14:textId="77777777" w:rsidR="00EF1BE8" w:rsidRPr="002C0C08" w:rsidRDefault="00342AB6" w:rsidP="00540549">
      <w:pPr>
        <w:pStyle w:val="BodyText"/>
        <w:tabs>
          <w:tab w:val="left" w:pos="5768"/>
        </w:tabs>
        <w:ind w:left="118" w:right="210" w:firstLine="719"/>
        <w:rPr>
          <w:sz w:val="20"/>
          <w:szCs w:val="20"/>
        </w:rPr>
      </w:pPr>
      <w:r w:rsidRPr="002C0C08">
        <w:rPr>
          <w:sz w:val="20"/>
          <w:szCs w:val="20"/>
        </w:rPr>
        <w:t xml:space="preserve">We appreciate your assistance as we consider </w:t>
      </w:r>
      <w:r w:rsidRPr="002C0C08">
        <w:rPr>
          <w:sz w:val="20"/>
          <w:szCs w:val="20"/>
          <w:u w:val="single"/>
        </w:rPr>
        <w:tab/>
      </w:r>
      <w:r w:rsidRPr="002C0C08">
        <w:rPr>
          <w:sz w:val="20"/>
          <w:szCs w:val="20"/>
        </w:rPr>
        <w:t>’s candidacy. We are keenly aware of the demands this request places on you and appreciate your assistance. Your letter will be seen by a group of faculty members serving in a promotion and tenure advisory capacity. The candidate may request access to, and the university is legally compelled to give access to, the entire dossier. I do hope you will be able to assist us.</w:t>
      </w:r>
    </w:p>
    <w:p w14:paraId="4E98270F" w14:textId="77777777" w:rsidR="00EF1BE8" w:rsidRPr="002C0C08" w:rsidRDefault="00EF1BE8" w:rsidP="008E3E71">
      <w:pPr>
        <w:pStyle w:val="BodyText"/>
        <w:rPr>
          <w:sz w:val="20"/>
          <w:szCs w:val="20"/>
        </w:rPr>
      </w:pPr>
    </w:p>
    <w:p w14:paraId="3E1F4749" w14:textId="77777777" w:rsidR="00EF1BE8" w:rsidRPr="002C0C08" w:rsidRDefault="00342AB6" w:rsidP="00540549">
      <w:pPr>
        <w:pStyle w:val="BodyText"/>
        <w:ind w:left="838"/>
        <w:rPr>
          <w:sz w:val="20"/>
          <w:szCs w:val="20"/>
        </w:rPr>
      </w:pPr>
      <w:r w:rsidRPr="002C0C08">
        <w:rPr>
          <w:sz w:val="20"/>
          <w:szCs w:val="20"/>
        </w:rPr>
        <w:t>Thank you for your assistance in this important academic process.</w:t>
      </w:r>
    </w:p>
    <w:p w14:paraId="50FE9762" w14:textId="77777777" w:rsidR="00EF1BE8" w:rsidRPr="002C0C08" w:rsidRDefault="00EF1BE8" w:rsidP="00540549">
      <w:pPr>
        <w:pStyle w:val="BodyText"/>
        <w:rPr>
          <w:sz w:val="20"/>
          <w:szCs w:val="20"/>
        </w:rPr>
      </w:pPr>
    </w:p>
    <w:p w14:paraId="5202589A" w14:textId="77777777" w:rsidR="00EF1BE8" w:rsidRPr="002C0C08" w:rsidRDefault="00EF1BE8" w:rsidP="00540549">
      <w:pPr>
        <w:pStyle w:val="BodyText"/>
        <w:rPr>
          <w:sz w:val="20"/>
          <w:szCs w:val="20"/>
        </w:rPr>
      </w:pPr>
    </w:p>
    <w:p w14:paraId="3F0DE928" w14:textId="77777777" w:rsidR="00EF1BE8" w:rsidRPr="002C0C08" w:rsidRDefault="00342AB6" w:rsidP="00540549">
      <w:pPr>
        <w:pStyle w:val="BodyText"/>
        <w:ind w:left="118"/>
        <w:rPr>
          <w:sz w:val="20"/>
          <w:szCs w:val="20"/>
        </w:rPr>
      </w:pPr>
      <w:r w:rsidRPr="002C0C08">
        <w:rPr>
          <w:sz w:val="20"/>
          <w:szCs w:val="20"/>
        </w:rPr>
        <w:t>Sincerely,</w:t>
      </w:r>
    </w:p>
    <w:p w14:paraId="13B67BE0" w14:textId="77777777" w:rsidR="00EF1BE8" w:rsidRPr="002C0C08" w:rsidRDefault="00EF1BE8" w:rsidP="00540549">
      <w:pPr>
        <w:rPr>
          <w:sz w:val="20"/>
          <w:szCs w:val="20"/>
        </w:rPr>
        <w:sectPr w:rsidR="00EF1BE8" w:rsidRPr="002C0C08" w:rsidSect="00081F5F">
          <w:headerReference w:type="default" r:id="rId21"/>
          <w:pgSz w:w="12240" w:h="15840"/>
          <w:pgMar w:top="1320" w:right="1540" w:bottom="900" w:left="1460" w:header="0" w:footer="680" w:gutter="0"/>
          <w:cols w:space="720"/>
        </w:sectPr>
      </w:pPr>
    </w:p>
    <w:p w14:paraId="5ABAF9C5" w14:textId="77777777" w:rsidR="00EF1BE8" w:rsidRPr="002C0C08" w:rsidRDefault="00342AB6" w:rsidP="008E3E71">
      <w:pPr>
        <w:pStyle w:val="BodyText"/>
        <w:tabs>
          <w:tab w:val="left" w:pos="1679"/>
        </w:tabs>
        <w:ind w:left="119"/>
        <w:rPr>
          <w:sz w:val="20"/>
          <w:szCs w:val="20"/>
        </w:rPr>
      </w:pPr>
      <w:r w:rsidRPr="002C0C08">
        <w:rPr>
          <w:sz w:val="20"/>
          <w:szCs w:val="20"/>
        </w:rPr>
        <w:lastRenderedPageBreak/>
        <w:t xml:space="preserve">Date: </w:t>
      </w:r>
      <w:r w:rsidRPr="002C0C08">
        <w:rPr>
          <w:sz w:val="20"/>
          <w:szCs w:val="20"/>
          <w:u w:val="single"/>
        </w:rPr>
        <w:tab/>
      </w:r>
    </w:p>
    <w:p w14:paraId="520CD9A6" w14:textId="77777777" w:rsidR="00EF1BE8" w:rsidRPr="002C0C08" w:rsidRDefault="00EF1BE8" w:rsidP="008E3E71">
      <w:pPr>
        <w:pStyle w:val="BodyText"/>
        <w:rPr>
          <w:sz w:val="20"/>
          <w:szCs w:val="20"/>
        </w:rPr>
      </w:pPr>
    </w:p>
    <w:p w14:paraId="5206A266" w14:textId="77777777" w:rsidR="00EF1BE8" w:rsidRPr="002C0C08" w:rsidRDefault="00342AB6" w:rsidP="008E3E71">
      <w:pPr>
        <w:pStyle w:val="BodyText"/>
        <w:tabs>
          <w:tab w:val="left" w:pos="1957"/>
        </w:tabs>
        <w:ind w:left="119"/>
        <w:rPr>
          <w:sz w:val="20"/>
          <w:szCs w:val="20"/>
        </w:rPr>
      </w:pPr>
      <w:r w:rsidRPr="002C0C08">
        <w:rPr>
          <w:sz w:val="20"/>
          <w:szCs w:val="20"/>
        </w:rPr>
        <w:t xml:space="preserve">Dear Dr. </w:t>
      </w:r>
      <w:r w:rsidRPr="002C0C08">
        <w:rPr>
          <w:sz w:val="20"/>
          <w:szCs w:val="20"/>
          <w:u w:val="single"/>
        </w:rPr>
        <w:tab/>
      </w:r>
      <w:r w:rsidRPr="002C0C08">
        <w:rPr>
          <w:sz w:val="20"/>
          <w:szCs w:val="20"/>
        </w:rPr>
        <w:t>,</w:t>
      </w:r>
    </w:p>
    <w:p w14:paraId="63910EE0" w14:textId="77777777" w:rsidR="00EF1BE8" w:rsidRPr="002C0C08" w:rsidRDefault="00EF1BE8" w:rsidP="008E3E71">
      <w:pPr>
        <w:pStyle w:val="BodyText"/>
        <w:rPr>
          <w:sz w:val="20"/>
          <w:szCs w:val="20"/>
        </w:rPr>
      </w:pPr>
    </w:p>
    <w:p w14:paraId="4EF48FD3" w14:textId="3CAFB567" w:rsidR="00EF1BE8" w:rsidRPr="002C0C08" w:rsidRDefault="00342AB6" w:rsidP="008E3E71">
      <w:pPr>
        <w:pStyle w:val="BodyText"/>
        <w:tabs>
          <w:tab w:val="left" w:pos="1892"/>
          <w:tab w:val="left" w:pos="2442"/>
        </w:tabs>
        <w:ind w:left="119" w:right="200" w:firstLine="720"/>
        <w:rPr>
          <w:sz w:val="20"/>
          <w:szCs w:val="20"/>
        </w:rPr>
      </w:pPr>
      <w:r w:rsidRPr="002C0C08">
        <w:rPr>
          <w:sz w:val="20"/>
          <w:szCs w:val="20"/>
          <w:u w:val="single"/>
        </w:rPr>
        <w:tab/>
      </w:r>
      <w:r w:rsidRPr="002C0C08">
        <w:rPr>
          <w:sz w:val="20"/>
          <w:szCs w:val="20"/>
        </w:rPr>
        <w:t xml:space="preserve"> is seeking promotion </w:t>
      </w:r>
      <w:r w:rsidRPr="002C0C08">
        <w:rPr>
          <w:sz w:val="20"/>
          <w:szCs w:val="20"/>
          <w:u w:val="single"/>
        </w:rPr>
        <w:t>and tenure</w:t>
      </w:r>
      <w:r w:rsidRPr="002C0C08">
        <w:rPr>
          <w:sz w:val="20"/>
          <w:szCs w:val="20"/>
        </w:rPr>
        <w:t xml:space="preserve"> on the basis of excellence in teaching in the Department of </w:t>
      </w:r>
      <w:r w:rsidRPr="002C0C08">
        <w:rPr>
          <w:sz w:val="20"/>
          <w:szCs w:val="20"/>
          <w:u w:val="single"/>
        </w:rPr>
        <w:tab/>
      </w:r>
      <w:r w:rsidRPr="002C0C08">
        <w:rPr>
          <w:sz w:val="20"/>
          <w:szCs w:val="20"/>
          <w:u w:val="single"/>
        </w:rPr>
        <w:tab/>
      </w:r>
      <w:r w:rsidRPr="002C0C08">
        <w:rPr>
          <w:sz w:val="20"/>
          <w:szCs w:val="20"/>
        </w:rPr>
        <w:t xml:space="preserve"> in the School of Science at Indiana University Indianapolis (</w:t>
      </w:r>
      <w:r w:rsidR="00B8385B" w:rsidRPr="002C0C08">
        <w:rPr>
          <w:sz w:val="20"/>
          <w:szCs w:val="20"/>
        </w:rPr>
        <w:t>Indiana University Indianapolis</w:t>
      </w:r>
      <w:r w:rsidRPr="002C0C08">
        <w:rPr>
          <w:sz w:val="20"/>
          <w:szCs w:val="20"/>
        </w:rPr>
        <w:t xml:space="preserve">). With this letter I have provided the </w:t>
      </w:r>
      <w:r w:rsidR="00B8385B" w:rsidRPr="002C0C08">
        <w:rPr>
          <w:sz w:val="20"/>
          <w:szCs w:val="20"/>
        </w:rPr>
        <w:t>Indiana University Indianapolis</w:t>
      </w:r>
      <w:r w:rsidRPr="002C0C08">
        <w:rPr>
          <w:sz w:val="20"/>
          <w:szCs w:val="20"/>
        </w:rPr>
        <w:t>/School/Department criteria for this case, as well as the candidate statement, curriculum vitae, and key dossier material. This material includes links to significant publications, as well as other artifacts demonstrating teaching skills and accomplishments.</w:t>
      </w:r>
    </w:p>
    <w:p w14:paraId="173E7370" w14:textId="77777777" w:rsidR="00EF1BE8" w:rsidRPr="002C0C08" w:rsidRDefault="00EF1BE8" w:rsidP="00540549">
      <w:pPr>
        <w:pStyle w:val="BodyText"/>
        <w:rPr>
          <w:sz w:val="20"/>
          <w:szCs w:val="20"/>
        </w:rPr>
      </w:pPr>
    </w:p>
    <w:p w14:paraId="51DF44BC" w14:textId="77777777" w:rsidR="00EF1BE8" w:rsidRPr="002C0C08" w:rsidRDefault="00342AB6" w:rsidP="00540549">
      <w:pPr>
        <w:pStyle w:val="BodyText"/>
        <w:ind w:left="119" w:right="210" w:firstLine="720"/>
        <w:rPr>
          <w:sz w:val="20"/>
          <w:szCs w:val="20"/>
        </w:rPr>
      </w:pPr>
      <w:r w:rsidRPr="002C0C08">
        <w:rPr>
          <w:sz w:val="20"/>
          <w:szCs w:val="20"/>
        </w:rPr>
        <w:t xml:space="preserve">Please provide your assessment of the candidate in light of these criteria, the information provided, and your knowledge of how this work fits into the discipline on a national and international basis. Please focus your review on the quality and impact of the candidate’s work. We are particularly interested in your evaluation of the significance and impact of the candidate’s work, and the quality of the journals and conferences in which it is presented. We are not asking you to recommend for or against promotion </w:t>
      </w:r>
      <w:r w:rsidRPr="002C0C08">
        <w:rPr>
          <w:sz w:val="20"/>
          <w:szCs w:val="20"/>
          <w:u w:val="single"/>
        </w:rPr>
        <w:t>or tenure</w:t>
      </w:r>
      <w:r w:rsidRPr="002C0C08">
        <w:rPr>
          <w:sz w:val="20"/>
          <w:szCs w:val="20"/>
        </w:rPr>
        <w:t xml:space="preserve">, nor are we asking if the candidate might receive promotion </w:t>
      </w:r>
      <w:r w:rsidRPr="002C0C08">
        <w:rPr>
          <w:sz w:val="20"/>
          <w:szCs w:val="20"/>
          <w:u w:val="single"/>
        </w:rPr>
        <w:t>or tenure</w:t>
      </w:r>
      <w:r w:rsidRPr="002C0C08">
        <w:rPr>
          <w:sz w:val="20"/>
          <w:szCs w:val="20"/>
        </w:rPr>
        <w:t xml:space="preserve"> at your institution. We would, of course, appreciate any other comments you would like to make.</w:t>
      </w:r>
    </w:p>
    <w:p w14:paraId="7D5CD136" w14:textId="77777777" w:rsidR="00EF1BE8" w:rsidRPr="002C0C08" w:rsidRDefault="00EF1BE8" w:rsidP="00540549">
      <w:pPr>
        <w:pStyle w:val="BodyText"/>
        <w:rPr>
          <w:sz w:val="20"/>
          <w:szCs w:val="20"/>
        </w:rPr>
      </w:pPr>
    </w:p>
    <w:p w14:paraId="6CD2FA8D" w14:textId="11814F60" w:rsidR="00EF1BE8" w:rsidRPr="002C0C08" w:rsidRDefault="00B8385B" w:rsidP="00540549">
      <w:pPr>
        <w:pStyle w:val="BodyText"/>
        <w:tabs>
          <w:tab w:val="left" w:pos="1993"/>
        </w:tabs>
        <w:ind w:left="118" w:right="259" w:firstLine="720"/>
        <w:rPr>
          <w:sz w:val="20"/>
          <w:szCs w:val="20"/>
        </w:rPr>
      </w:pPr>
      <w:r w:rsidRPr="002C0C08">
        <w:rPr>
          <w:sz w:val="20"/>
          <w:szCs w:val="20"/>
        </w:rPr>
        <w:t xml:space="preserve">Indiana University Indianapolis requires that requested references come from individuals with no close connections to the candidate (e.g., former or current mentors, students, recent co-authors, or research partners). Therefore, if such a connection exists, please let us know as soon as possible that you will not be able to serve as a reviewer in this case. If you are able to serve as a reviewer, please complete the External Referee Form and return it with your review summary. Also, please include a copy of your curriculum vitae or a brief biography to provide reviewers at all campus levels with a context for your comments. In order to complete </w:t>
      </w:r>
      <w:r w:rsidRPr="002C0C08">
        <w:rPr>
          <w:sz w:val="20"/>
          <w:szCs w:val="20"/>
          <w:u w:val="single"/>
        </w:rPr>
        <w:tab/>
      </w:r>
      <w:r w:rsidRPr="002C0C08">
        <w:rPr>
          <w:sz w:val="20"/>
          <w:szCs w:val="20"/>
        </w:rPr>
        <w:t>’s dossier for review, we would appreciate receiving your comments</w:t>
      </w:r>
    </w:p>
    <w:p w14:paraId="74E2EFD3" w14:textId="77777777" w:rsidR="00EF1BE8" w:rsidRPr="002C0C08" w:rsidRDefault="00342AB6" w:rsidP="008E3E71">
      <w:pPr>
        <w:pStyle w:val="BodyText"/>
        <w:tabs>
          <w:tab w:val="left" w:pos="1381"/>
        </w:tabs>
        <w:ind w:left="119"/>
        <w:rPr>
          <w:sz w:val="20"/>
          <w:szCs w:val="20"/>
        </w:rPr>
      </w:pPr>
      <w:r w:rsidRPr="002C0C08">
        <w:rPr>
          <w:sz w:val="20"/>
          <w:szCs w:val="20"/>
        </w:rPr>
        <w:t>by</w:t>
      </w:r>
      <w:r w:rsidRPr="002C0C08">
        <w:rPr>
          <w:sz w:val="20"/>
          <w:szCs w:val="20"/>
          <w:u w:val="single"/>
        </w:rPr>
        <w:tab/>
      </w:r>
      <w:r w:rsidRPr="002C0C08">
        <w:rPr>
          <w:sz w:val="20"/>
          <w:szCs w:val="20"/>
        </w:rPr>
        <w:t>.</w:t>
      </w:r>
    </w:p>
    <w:p w14:paraId="4117748D" w14:textId="77777777" w:rsidR="00EF1BE8" w:rsidRPr="002C0C08" w:rsidRDefault="00EF1BE8" w:rsidP="008E3E71">
      <w:pPr>
        <w:pStyle w:val="BodyText"/>
        <w:rPr>
          <w:sz w:val="20"/>
          <w:szCs w:val="20"/>
        </w:rPr>
      </w:pPr>
    </w:p>
    <w:p w14:paraId="3BDF2BA6" w14:textId="77777777" w:rsidR="00EF1BE8" w:rsidRPr="002C0C08" w:rsidRDefault="00342AB6" w:rsidP="00540549">
      <w:pPr>
        <w:pStyle w:val="BodyText"/>
        <w:tabs>
          <w:tab w:val="left" w:pos="5768"/>
        </w:tabs>
        <w:ind w:left="119" w:right="210" w:firstLine="719"/>
        <w:rPr>
          <w:sz w:val="20"/>
          <w:szCs w:val="20"/>
        </w:rPr>
      </w:pPr>
      <w:r w:rsidRPr="002C0C08">
        <w:rPr>
          <w:sz w:val="20"/>
          <w:szCs w:val="20"/>
        </w:rPr>
        <w:t xml:space="preserve">We appreciate your assistance as we consider </w:t>
      </w:r>
      <w:r w:rsidRPr="002C0C08">
        <w:rPr>
          <w:sz w:val="20"/>
          <w:szCs w:val="20"/>
          <w:u w:val="single"/>
        </w:rPr>
        <w:tab/>
      </w:r>
      <w:r w:rsidRPr="002C0C08">
        <w:rPr>
          <w:sz w:val="20"/>
          <w:szCs w:val="20"/>
        </w:rPr>
        <w:t>’s candidacy. We are keenly aware of the demands this request places on you and appreciate your assistance. Your letter will be seen by a group of faculty members serving in a promotion and tenure advisory capacity. The candidate may request access to, and the university is legally compelled to give access to, the entire dossier. I do hope you will be able to assist us.</w:t>
      </w:r>
    </w:p>
    <w:p w14:paraId="7B9A64C1" w14:textId="77777777" w:rsidR="00EF1BE8" w:rsidRPr="002C0C08" w:rsidRDefault="00EF1BE8" w:rsidP="008E3E71">
      <w:pPr>
        <w:pStyle w:val="BodyText"/>
        <w:rPr>
          <w:sz w:val="20"/>
          <w:szCs w:val="20"/>
        </w:rPr>
      </w:pPr>
    </w:p>
    <w:p w14:paraId="6D183E11" w14:textId="77777777" w:rsidR="00EF1BE8" w:rsidRPr="002C0C08" w:rsidRDefault="00342AB6" w:rsidP="00540549">
      <w:pPr>
        <w:pStyle w:val="BodyText"/>
        <w:ind w:left="839"/>
        <w:rPr>
          <w:sz w:val="20"/>
          <w:szCs w:val="20"/>
        </w:rPr>
      </w:pPr>
      <w:r w:rsidRPr="002C0C08">
        <w:rPr>
          <w:sz w:val="20"/>
          <w:szCs w:val="20"/>
        </w:rPr>
        <w:t>Thank you for your assistance in this important academic process.</w:t>
      </w:r>
    </w:p>
    <w:p w14:paraId="5611F90D" w14:textId="77777777" w:rsidR="00EF1BE8" w:rsidRPr="002C0C08" w:rsidRDefault="00EF1BE8" w:rsidP="00540549">
      <w:pPr>
        <w:pStyle w:val="BodyText"/>
        <w:rPr>
          <w:sz w:val="20"/>
          <w:szCs w:val="20"/>
        </w:rPr>
      </w:pPr>
    </w:p>
    <w:p w14:paraId="0A8C50B3" w14:textId="77777777" w:rsidR="00EF1BE8" w:rsidRPr="002C0C08" w:rsidRDefault="00EF1BE8" w:rsidP="00540549">
      <w:pPr>
        <w:pStyle w:val="BodyText"/>
        <w:rPr>
          <w:sz w:val="20"/>
          <w:szCs w:val="20"/>
        </w:rPr>
      </w:pPr>
    </w:p>
    <w:p w14:paraId="4400A8DC" w14:textId="77777777" w:rsidR="00EF1BE8" w:rsidRPr="002C0C08" w:rsidRDefault="00342AB6" w:rsidP="008E3E71">
      <w:pPr>
        <w:pStyle w:val="BodyText"/>
        <w:ind w:left="119"/>
        <w:rPr>
          <w:sz w:val="20"/>
          <w:szCs w:val="20"/>
        </w:rPr>
      </w:pPr>
      <w:r w:rsidRPr="002C0C08">
        <w:rPr>
          <w:sz w:val="20"/>
          <w:szCs w:val="20"/>
        </w:rPr>
        <w:t>Sincerely,</w:t>
      </w:r>
    </w:p>
    <w:p w14:paraId="685AE4D9" w14:textId="77777777" w:rsidR="00EF1BE8" w:rsidRPr="002C0C08" w:rsidRDefault="00EF1BE8" w:rsidP="00540549">
      <w:pPr>
        <w:rPr>
          <w:sz w:val="20"/>
          <w:szCs w:val="20"/>
        </w:rPr>
        <w:sectPr w:rsidR="00EF1BE8" w:rsidRPr="002C0C08" w:rsidSect="00081F5F">
          <w:headerReference w:type="default" r:id="rId22"/>
          <w:pgSz w:w="12240" w:h="15840"/>
          <w:pgMar w:top="1320" w:right="1540" w:bottom="900" w:left="1460" w:header="0" w:footer="680" w:gutter="0"/>
          <w:cols w:space="720"/>
        </w:sectPr>
      </w:pPr>
    </w:p>
    <w:p w14:paraId="020A4C60" w14:textId="77777777" w:rsidR="00EF1BE8" w:rsidRPr="002C0C08" w:rsidRDefault="00342AB6" w:rsidP="006461E4">
      <w:pPr>
        <w:pStyle w:val="BodyText"/>
        <w:tabs>
          <w:tab w:val="left" w:pos="1679"/>
        </w:tabs>
        <w:ind w:left="119"/>
        <w:rPr>
          <w:sz w:val="20"/>
          <w:szCs w:val="20"/>
        </w:rPr>
      </w:pPr>
      <w:r w:rsidRPr="002C0C08">
        <w:rPr>
          <w:sz w:val="20"/>
          <w:szCs w:val="20"/>
        </w:rPr>
        <w:lastRenderedPageBreak/>
        <w:t xml:space="preserve">Date: </w:t>
      </w:r>
      <w:r w:rsidRPr="002C0C08">
        <w:rPr>
          <w:sz w:val="20"/>
          <w:szCs w:val="20"/>
          <w:u w:val="single"/>
        </w:rPr>
        <w:tab/>
      </w:r>
    </w:p>
    <w:p w14:paraId="6020B5CC" w14:textId="77777777" w:rsidR="00EF1BE8" w:rsidRPr="002C0C08" w:rsidRDefault="00EF1BE8" w:rsidP="006461E4">
      <w:pPr>
        <w:pStyle w:val="BodyText"/>
        <w:rPr>
          <w:sz w:val="20"/>
          <w:szCs w:val="20"/>
        </w:rPr>
      </w:pPr>
    </w:p>
    <w:p w14:paraId="61EB326B" w14:textId="77777777" w:rsidR="00EF1BE8" w:rsidRPr="002C0C08" w:rsidRDefault="00342AB6" w:rsidP="006461E4">
      <w:pPr>
        <w:pStyle w:val="BodyText"/>
        <w:tabs>
          <w:tab w:val="left" w:pos="1957"/>
        </w:tabs>
        <w:ind w:left="119"/>
        <w:rPr>
          <w:sz w:val="20"/>
          <w:szCs w:val="20"/>
        </w:rPr>
      </w:pPr>
      <w:r w:rsidRPr="002C0C08">
        <w:rPr>
          <w:sz w:val="20"/>
          <w:szCs w:val="20"/>
        </w:rPr>
        <w:t xml:space="preserve">Dear Dr. </w:t>
      </w:r>
      <w:r w:rsidRPr="002C0C08">
        <w:rPr>
          <w:sz w:val="20"/>
          <w:szCs w:val="20"/>
          <w:u w:val="single"/>
        </w:rPr>
        <w:tab/>
      </w:r>
      <w:r w:rsidRPr="002C0C08">
        <w:rPr>
          <w:sz w:val="20"/>
          <w:szCs w:val="20"/>
        </w:rPr>
        <w:t>,</w:t>
      </w:r>
    </w:p>
    <w:p w14:paraId="16FA2584" w14:textId="77777777" w:rsidR="00EF1BE8" w:rsidRPr="002C0C08" w:rsidRDefault="00EF1BE8" w:rsidP="006461E4">
      <w:pPr>
        <w:pStyle w:val="BodyText"/>
        <w:rPr>
          <w:sz w:val="20"/>
          <w:szCs w:val="20"/>
        </w:rPr>
      </w:pPr>
    </w:p>
    <w:p w14:paraId="157DE8FC" w14:textId="32BC2317" w:rsidR="00EF1BE8" w:rsidRPr="002C0C08" w:rsidRDefault="00342AB6" w:rsidP="006461E4">
      <w:pPr>
        <w:pStyle w:val="BodyText"/>
        <w:tabs>
          <w:tab w:val="left" w:pos="1892"/>
          <w:tab w:val="left" w:pos="5564"/>
        </w:tabs>
        <w:ind w:left="119" w:right="161" w:firstLine="720"/>
        <w:rPr>
          <w:sz w:val="20"/>
          <w:szCs w:val="20"/>
        </w:rPr>
      </w:pPr>
      <w:r w:rsidRPr="002C0C08">
        <w:rPr>
          <w:sz w:val="20"/>
          <w:szCs w:val="20"/>
          <w:u w:val="single"/>
        </w:rPr>
        <w:tab/>
      </w:r>
      <w:r w:rsidRPr="002C0C08">
        <w:rPr>
          <w:sz w:val="20"/>
          <w:szCs w:val="20"/>
        </w:rPr>
        <w:t xml:space="preserve"> is seeking promotion </w:t>
      </w:r>
      <w:r w:rsidRPr="002C0C08">
        <w:rPr>
          <w:sz w:val="20"/>
          <w:szCs w:val="20"/>
          <w:u w:val="single"/>
        </w:rPr>
        <w:t>and tenure</w:t>
      </w:r>
      <w:r w:rsidRPr="002C0C08">
        <w:rPr>
          <w:sz w:val="20"/>
          <w:szCs w:val="20"/>
        </w:rPr>
        <w:t xml:space="preserve"> on the basis of </w:t>
      </w:r>
      <w:r w:rsidR="00FA2AC0" w:rsidRPr="002C0C08">
        <w:rPr>
          <w:sz w:val="20"/>
          <w:szCs w:val="20"/>
        </w:rPr>
        <w:t>a Balanced Integrative</w:t>
      </w:r>
      <w:r w:rsidR="00651F30" w:rsidRPr="002C0C08">
        <w:rPr>
          <w:sz w:val="20"/>
          <w:szCs w:val="20"/>
        </w:rPr>
        <w:t xml:space="preserve"> Ca</w:t>
      </w:r>
      <w:r w:rsidR="00AC6F76" w:rsidRPr="002C0C08">
        <w:rPr>
          <w:sz w:val="20"/>
          <w:szCs w:val="20"/>
        </w:rPr>
        <w:t>s</w:t>
      </w:r>
      <w:r w:rsidR="00651F30" w:rsidRPr="002C0C08">
        <w:rPr>
          <w:sz w:val="20"/>
          <w:szCs w:val="20"/>
        </w:rPr>
        <w:t>e – Thematic Approach</w:t>
      </w:r>
      <w:r w:rsidR="00FA2AC0" w:rsidRPr="002C0C08">
        <w:rPr>
          <w:sz w:val="20"/>
          <w:szCs w:val="20"/>
        </w:rPr>
        <w:t xml:space="preserve"> </w:t>
      </w:r>
      <w:r w:rsidRPr="002C0C08">
        <w:rPr>
          <w:sz w:val="20"/>
          <w:szCs w:val="20"/>
        </w:rPr>
        <w:t xml:space="preserve"> in the Department of </w:t>
      </w:r>
      <w:r w:rsidRPr="002C0C08">
        <w:rPr>
          <w:sz w:val="20"/>
          <w:szCs w:val="20"/>
          <w:u w:val="single"/>
        </w:rPr>
        <w:tab/>
      </w:r>
      <w:r w:rsidRPr="002C0C08">
        <w:rPr>
          <w:sz w:val="20"/>
          <w:szCs w:val="20"/>
        </w:rPr>
        <w:t xml:space="preserve"> in the School of Science at Indiana University Indianapolis (</w:t>
      </w:r>
      <w:r w:rsidR="00B8385B" w:rsidRPr="002C0C08">
        <w:rPr>
          <w:sz w:val="20"/>
          <w:szCs w:val="20"/>
        </w:rPr>
        <w:t>Indiana University Indianapolis</w:t>
      </w:r>
      <w:r w:rsidRPr="002C0C08">
        <w:rPr>
          <w:sz w:val="20"/>
          <w:szCs w:val="20"/>
        </w:rPr>
        <w:t xml:space="preserve">). Contributions are considered ‘integrative’ in that they form an indivisible whole across teaching, research and service. With this letter I have provided the </w:t>
      </w:r>
      <w:r w:rsidR="00B8385B" w:rsidRPr="002C0C08">
        <w:rPr>
          <w:sz w:val="20"/>
          <w:szCs w:val="20"/>
        </w:rPr>
        <w:t>Indiana University Indianapolis</w:t>
      </w:r>
      <w:r w:rsidRPr="002C0C08">
        <w:rPr>
          <w:sz w:val="20"/>
          <w:szCs w:val="20"/>
        </w:rPr>
        <w:t>/School/Department criteria for this case, as well as the candidate statement, curriculum vitae, and key dossier material. This material includes links to significant publications, as well as other artifacts demonstrating skills and accomplishments.</w:t>
      </w:r>
    </w:p>
    <w:p w14:paraId="1A5FCF96" w14:textId="77777777" w:rsidR="00EF1BE8" w:rsidRPr="002C0C08" w:rsidRDefault="00EF1BE8" w:rsidP="006461E4">
      <w:pPr>
        <w:pStyle w:val="BodyText"/>
        <w:rPr>
          <w:sz w:val="20"/>
          <w:szCs w:val="20"/>
        </w:rPr>
      </w:pPr>
    </w:p>
    <w:p w14:paraId="68AB5E45" w14:textId="77777777" w:rsidR="00EF1BE8" w:rsidRPr="002C0C08" w:rsidRDefault="00342AB6" w:rsidP="00540549">
      <w:pPr>
        <w:pStyle w:val="BodyText"/>
        <w:ind w:left="119" w:right="210" w:firstLine="720"/>
        <w:rPr>
          <w:sz w:val="20"/>
          <w:szCs w:val="20"/>
        </w:rPr>
      </w:pPr>
      <w:r w:rsidRPr="002C0C08">
        <w:rPr>
          <w:sz w:val="20"/>
          <w:szCs w:val="20"/>
        </w:rPr>
        <w:t xml:space="preserve">Please provide your assessment of the candidate in light of these criteria, the information provided, and your knowledge of how this work fits into the discipline on a national and international basis. Please focus your review on the quality and impact of the candidate’s work. We are particularly interested in your evaluation of the significance and impact of the candidate’s work, and the quality of the journals and conferences in which it is presented. We are not asking you to recommend for or against promotion </w:t>
      </w:r>
      <w:r w:rsidRPr="002C0C08">
        <w:rPr>
          <w:sz w:val="20"/>
          <w:szCs w:val="20"/>
          <w:u w:val="single"/>
        </w:rPr>
        <w:t>or tenure</w:t>
      </w:r>
      <w:r w:rsidRPr="002C0C08">
        <w:rPr>
          <w:sz w:val="20"/>
          <w:szCs w:val="20"/>
        </w:rPr>
        <w:t xml:space="preserve">, nor are we asking if the candidate might receive promotion </w:t>
      </w:r>
      <w:r w:rsidRPr="002C0C08">
        <w:rPr>
          <w:sz w:val="20"/>
          <w:szCs w:val="20"/>
          <w:u w:val="single"/>
        </w:rPr>
        <w:t>or tenure</w:t>
      </w:r>
      <w:r w:rsidRPr="002C0C08">
        <w:rPr>
          <w:sz w:val="20"/>
          <w:szCs w:val="20"/>
        </w:rPr>
        <w:t xml:space="preserve"> at your institution. We would, of course, appreciate any other comments you would like to make.</w:t>
      </w:r>
    </w:p>
    <w:p w14:paraId="114C606D" w14:textId="77777777" w:rsidR="00EF1BE8" w:rsidRPr="002C0C08" w:rsidRDefault="00EF1BE8" w:rsidP="00540549">
      <w:pPr>
        <w:pStyle w:val="BodyText"/>
        <w:rPr>
          <w:sz w:val="20"/>
          <w:szCs w:val="20"/>
        </w:rPr>
      </w:pPr>
    </w:p>
    <w:p w14:paraId="3A1BE388" w14:textId="2CFCFFAE" w:rsidR="00EF1BE8" w:rsidRPr="002C0C08" w:rsidRDefault="00B8385B" w:rsidP="00540549">
      <w:pPr>
        <w:pStyle w:val="BodyText"/>
        <w:tabs>
          <w:tab w:val="left" w:pos="1993"/>
        </w:tabs>
        <w:ind w:left="118" w:right="259" w:firstLine="720"/>
        <w:rPr>
          <w:sz w:val="20"/>
          <w:szCs w:val="20"/>
        </w:rPr>
      </w:pPr>
      <w:r w:rsidRPr="002C0C08">
        <w:rPr>
          <w:sz w:val="20"/>
          <w:szCs w:val="20"/>
        </w:rPr>
        <w:t xml:space="preserve">Indiana University Indianapolis requires that requested references come from individuals with no close connections to the candidate (e.g., former or current mentors, students, recent co-authors, or research partners). Therefore, if such a connection exists, please let us know as soon as possible that you will not be able to serve as a reviewer in this case. If you are able to serve as a reviewer, please complete the External Referee Form and return it with your review summary. Also, please include a copy of your curriculum vitae or a brief biography to provide reviewers at all campus levels with a context for your comments. In order to complete </w:t>
      </w:r>
      <w:r w:rsidRPr="002C0C08">
        <w:rPr>
          <w:sz w:val="20"/>
          <w:szCs w:val="20"/>
          <w:u w:val="single"/>
        </w:rPr>
        <w:tab/>
      </w:r>
      <w:r w:rsidRPr="002C0C08">
        <w:rPr>
          <w:sz w:val="20"/>
          <w:szCs w:val="20"/>
        </w:rPr>
        <w:t>’s dossier for review, we would appreciate receiving your comments</w:t>
      </w:r>
    </w:p>
    <w:p w14:paraId="5AF49925" w14:textId="77777777" w:rsidR="00EF1BE8" w:rsidRPr="002C0C08" w:rsidRDefault="00342AB6" w:rsidP="008E3E71">
      <w:pPr>
        <w:pStyle w:val="BodyText"/>
        <w:tabs>
          <w:tab w:val="left" w:pos="1381"/>
        </w:tabs>
        <w:ind w:left="119"/>
        <w:rPr>
          <w:sz w:val="20"/>
          <w:szCs w:val="20"/>
        </w:rPr>
      </w:pPr>
      <w:r w:rsidRPr="002C0C08">
        <w:rPr>
          <w:sz w:val="20"/>
          <w:szCs w:val="20"/>
        </w:rPr>
        <w:t>by</w:t>
      </w:r>
      <w:r w:rsidRPr="002C0C08">
        <w:rPr>
          <w:sz w:val="20"/>
          <w:szCs w:val="20"/>
          <w:u w:val="single"/>
        </w:rPr>
        <w:tab/>
      </w:r>
      <w:r w:rsidRPr="002C0C08">
        <w:rPr>
          <w:sz w:val="20"/>
          <w:szCs w:val="20"/>
        </w:rPr>
        <w:t>.</w:t>
      </w:r>
    </w:p>
    <w:p w14:paraId="74A3F7E1" w14:textId="77777777" w:rsidR="00EF1BE8" w:rsidRPr="002C0C08" w:rsidRDefault="00EF1BE8" w:rsidP="008E3E71">
      <w:pPr>
        <w:pStyle w:val="BodyText"/>
        <w:rPr>
          <w:sz w:val="20"/>
          <w:szCs w:val="20"/>
        </w:rPr>
      </w:pPr>
    </w:p>
    <w:p w14:paraId="516971F7" w14:textId="77777777" w:rsidR="00EF1BE8" w:rsidRPr="002C0C08" w:rsidRDefault="00342AB6" w:rsidP="00540549">
      <w:pPr>
        <w:pStyle w:val="BodyText"/>
        <w:tabs>
          <w:tab w:val="left" w:pos="5768"/>
        </w:tabs>
        <w:ind w:left="119" w:right="210" w:firstLine="719"/>
        <w:rPr>
          <w:sz w:val="20"/>
          <w:szCs w:val="20"/>
        </w:rPr>
      </w:pPr>
      <w:r w:rsidRPr="002C0C08">
        <w:rPr>
          <w:sz w:val="20"/>
          <w:szCs w:val="20"/>
        </w:rPr>
        <w:t xml:space="preserve">We appreciate your assistance as we consider </w:t>
      </w:r>
      <w:r w:rsidRPr="002C0C08">
        <w:rPr>
          <w:sz w:val="20"/>
          <w:szCs w:val="20"/>
          <w:u w:val="single"/>
        </w:rPr>
        <w:tab/>
      </w:r>
      <w:r w:rsidRPr="002C0C08">
        <w:rPr>
          <w:sz w:val="20"/>
          <w:szCs w:val="20"/>
        </w:rPr>
        <w:t>’s candidacy. We are keenly aware of the demands this request places on you and appreciate your assistance. Your letter will be seen by a group of faculty members serving in a promotion and tenure advisory capacity. The candidate may request access to, and the university is legally compelled to give access to, the entire dossier. I do hope you will be able to assist us.</w:t>
      </w:r>
    </w:p>
    <w:p w14:paraId="5545FB0E" w14:textId="77777777" w:rsidR="00EF1BE8" w:rsidRPr="002C0C08" w:rsidRDefault="00EF1BE8" w:rsidP="008E3E71">
      <w:pPr>
        <w:pStyle w:val="BodyText"/>
        <w:rPr>
          <w:sz w:val="20"/>
          <w:szCs w:val="20"/>
        </w:rPr>
      </w:pPr>
    </w:p>
    <w:p w14:paraId="78BD1842" w14:textId="77777777" w:rsidR="00EF1BE8" w:rsidRPr="002C0C08" w:rsidRDefault="00342AB6" w:rsidP="00540549">
      <w:pPr>
        <w:pStyle w:val="BodyText"/>
        <w:ind w:left="839"/>
        <w:rPr>
          <w:sz w:val="20"/>
          <w:szCs w:val="20"/>
        </w:rPr>
      </w:pPr>
      <w:r w:rsidRPr="002C0C08">
        <w:rPr>
          <w:sz w:val="20"/>
          <w:szCs w:val="20"/>
        </w:rPr>
        <w:t>Thank you for your assistance in this important academic process.</w:t>
      </w:r>
    </w:p>
    <w:p w14:paraId="09588375" w14:textId="77777777" w:rsidR="00EF1BE8" w:rsidRPr="002C0C08" w:rsidRDefault="00EF1BE8" w:rsidP="00540549">
      <w:pPr>
        <w:pStyle w:val="BodyText"/>
        <w:rPr>
          <w:sz w:val="20"/>
          <w:szCs w:val="20"/>
        </w:rPr>
      </w:pPr>
    </w:p>
    <w:p w14:paraId="23B7CD23" w14:textId="77777777" w:rsidR="00EF1BE8" w:rsidRPr="002C0C08" w:rsidRDefault="00EF1BE8" w:rsidP="008E3E71">
      <w:pPr>
        <w:pStyle w:val="BodyText"/>
        <w:rPr>
          <w:sz w:val="20"/>
          <w:szCs w:val="20"/>
        </w:rPr>
      </w:pPr>
    </w:p>
    <w:p w14:paraId="5D4582F1" w14:textId="77777777" w:rsidR="00EF1BE8" w:rsidRPr="002C0C08" w:rsidRDefault="00342AB6" w:rsidP="00540549">
      <w:pPr>
        <w:pStyle w:val="BodyText"/>
        <w:ind w:left="119"/>
        <w:rPr>
          <w:sz w:val="20"/>
          <w:szCs w:val="20"/>
        </w:rPr>
      </w:pPr>
      <w:r w:rsidRPr="002C0C08">
        <w:rPr>
          <w:sz w:val="20"/>
          <w:szCs w:val="20"/>
        </w:rPr>
        <w:t>Sincerely,</w:t>
      </w:r>
    </w:p>
    <w:p w14:paraId="4EBD3F7A" w14:textId="77777777" w:rsidR="00EF1BE8" w:rsidRPr="002C0C08" w:rsidRDefault="00EF1BE8" w:rsidP="00540549">
      <w:pPr>
        <w:rPr>
          <w:sz w:val="20"/>
          <w:szCs w:val="20"/>
        </w:rPr>
        <w:sectPr w:rsidR="00EF1BE8" w:rsidRPr="002C0C08" w:rsidSect="00081F5F">
          <w:headerReference w:type="default" r:id="rId23"/>
          <w:pgSz w:w="12240" w:h="15840"/>
          <w:pgMar w:top="1320" w:right="1540" w:bottom="900" w:left="1460" w:header="0" w:footer="680" w:gutter="0"/>
          <w:cols w:space="720"/>
        </w:sectPr>
      </w:pPr>
    </w:p>
    <w:p w14:paraId="4D3902B0" w14:textId="77777777" w:rsidR="00EF1BE8" w:rsidRPr="002C0C08" w:rsidRDefault="00342AB6" w:rsidP="008E3E71">
      <w:pPr>
        <w:pStyle w:val="Heading2"/>
        <w:spacing w:before="0"/>
        <w:ind w:right="1237"/>
        <w:rPr>
          <w:sz w:val="20"/>
          <w:szCs w:val="20"/>
        </w:rPr>
      </w:pPr>
      <w:r w:rsidRPr="002C0C08">
        <w:rPr>
          <w:sz w:val="20"/>
          <w:szCs w:val="20"/>
        </w:rPr>
        <w:lastRenderedPageBreak/>
        <w:t>APPENDIX B</w:t>
      </w:r>
    </w:p>
    <w:p w14:paraId="1F28EBD6" w14:textId="77777777" w:rsidR="00EF1BE8" w:rsidRPr="002C0C08" w:rsidRDefault="00342AB6" w:rsidP="008E3E71">
      <w:pPr>
        <w:ind w:left="119" w:right="160"/>
        <w:rPr>
          <w:i/>
          <w:sz w:val="20"/>
          <w:szCs w:val="20"/>
        </w:rPr>
      </w:pPr>
      <w:r w:rsidRPr="002C0C08">
        <w:rPr>
          <w:i/>
          <w:sz w:val="20"/>
          <w:szCs w:val="20"/>
        </w:rPr>
        <w:t>This appendix contains the mandatory External Referee Form which is to be sent to referees along with the solicitation letter. All referees will be asked to complete it to ensure that all meet the criteria described in Section E.</w:t>
      </w:r>
    </w:p>
    <w:p w14:paraId="7FEC38AB" w14:textId="77777777" w:rsidR="00EF1BE8" w:rsidRPr="002C0C08" w:rsidRDefault="00EF1BE8" w:rsidP="008E3E71">
      <w:pPr>
        <w:pStyle w:val="BodyText"/>
        <w:rPr>
          <w:i/>
          <w:sz w:val="20"/>
          <w:szCs w:val="20"/>
        </w:rPr>
      </w:pPr>
    </w:p>
    <w:p w14:paraId="244706B6" w14:textId="77777777" w:rsidR="00EF1BE8" w:rsidRPr="002C0C08" w:rsidRDefault="00342AB6" w:rsidP="00540549">
      <w:pPr>
        <w:pStyle w:val="Heading2"/>
        <w:spacing w:before="0"/>
        <w:ind w:right="1238"/>
        <w:rPr>
          <w:sz w:val="20"/>
          <w:szCs w:val="20"/>
        </w:rPr>
      </w:pPr>
      <w:r w:rsidRPr="002C0C08">
        <w:rPr>
          <w:sz w:val="20"/>
          <w:szCs w:val="20"/>
          <w:u w:val="single"/>
        </w:rPr>
        <w:t>EXTERNAL REFEREE FORM</w:t>
      </w:r>
    </w:p>
    <w:p w14:paraId="53D94111" w14:textId="77777777" w:rsidR="00EF1BE8" w:rsidRPr="002C0C08" w:rsidRDefault="00EF1BE8" w:rsidP="008E3E71">
      <w:pPr>
        <w:pStyle w:val="BodyText"/>
        <w:rPr>
          <w:b/>
          <w:sz w:val="20"/>
          <w:szCs w:val="20"/>
        </w:rPr>
      </w:pPr>
    </w:p>
    <w:p w14:paraId="50A217EB" w14:textId="77777777" w:rsidR="00EF1BE8" w:rsidRPr="002C0C08" w:rsidRDefault="00342AB6" w:rsidP="008E3E71">
      <w:pPr>
        <w:pStyle w:val="BodyText"/>
        <w:tabs>
          <w:tab w:val="left" w:pos="3872"/>
        </w:tabs>
        <w:ind w:left="119" w:right="5365" w:hanging="1"/>
        <w:rPr>
          <w:sz w:val="20"/>
          <w:szCs w:val="20"/>
        </w:rPr>
      </w:pPr>
      <w:r w:rsidRPr="002C0C08">
        <w:rPr>
          <w:sz w:val="20"/>
          <w:szCs w:val="20"/>
        </w:rPr>
        <w:t xml:space="preserve">TO: </w:t>
      </w:r>
      <w:r w:rsidRPr="002C0C08">
        <w:rPr>
          <w:sz w:val="20"/>
          <w:szCs w:val="20"/>
          <w:u w:val="single"/>
        </w:rPr>
        <w:tab/>
      </w:r>
      <w:r w:rsidRPr="002C0C08">
        <w:rPr>
          <w:sz w:val="20"/>
          <w:szCs w:val="20"/>
        </w:rPr>
        <w:t xml:space="preserve"> FROM: </w:t>
      </w:r>
      <w:r w:rsidRPr="002C0C08">
        <w:rPr>
          <w:sz w:val="20"/>
          <w:szCs w:val="20"/>
          <w:u w:val="single"/>
        </w:rPr>
        <w:tab/>
      </w:r>
    </w:p>
    <w:p w14:paraId="757C7E0A" w14:textId="77777777" w:rsidR="00EF1BE8" w:rsidRPr="002C0C08" w:rsidRDefault="00EF1BE8" w:rsidP="00540549">
      <w:pPr>
        <w:pStyle w:val="BodyText"/>
        <w:rPr>
          <w:sz w:val="20"/>
          <w:szCs w:val="20"/>
        </w:rPr>
      </w:pPr>
    </w:p>
    <w:p w14:paraId="43FC4682" w14:textId="77777777" w:rsidR="00EF1BE8" w:rsidRPr="002C0C08" w:rsidRDefault="00342AB6" w:rsidP="008E3E71">
      <w:pPr>
        <w:pStyle w:val="BodyText"/>
        <w:tabs>
          <w:tab w:val="left" w:pos="4713"/>
        </w:tabs>
        <w:ind w:left="119"/>
        <w:rPr>
          <w:sz w:val="20"/>
          <w:szCs w:val="20"/>
        </w:rPr>
      </w:pPr>
      <w:r w:rsidRPr="002C0C08">
        <w:rPr>
          <w:sz w:val="20"/>
          <w:szCs w:val="20"/>
        </w:rPr>
        <w:t xml:space="preserve">CANDIDATE: </w:t>
      </w:r>
      <w:r w:rsidRPr="002C0C08">
        <w:rPr>
          <w:sz w:val="20"/>
          <w:szCs w:val="20"/>
          <w:u w:val="single"/>
        </w:rPr>
        <w:tab/>
      </w:r>
    </w:p>
    <w:p w14:paraId="4029D340" w14:textId="77777777" w:rsidR="00EF1BE8" w:rsidRPr="002C0C08" w:rsidRDefault="00EF1BE8" w:rsidP="00540549">
      <w:pPr>
        <w:pStyle w:val="BodyText"/>
        <w:rPr>
          <w:sz w:val="20"/>
          <w:szCs w:val="20"/>
        </w:rPr>
      </w:pPr>
    </w:p>
    <w:p w14:paraId="1F9A18EA" w14:textId="77777777" w:rsidR="00EF1BE8" w:rsidRPr="002C0C08" w:rsidRDefault="00EF1BE8" w:rsidP="00540549">
      <w:pPr>
        <w:pStyle w:val="BodyText"/>
        <w:rPr>
          <w:sz w:val="20"/>
          <w:szCs w:val="20"/>
        </w:rPr>
      </w:pPr>
    </w:p>
    <w:p w14:paraId="75BA9A9A" w14:textId="77777777" w:rsidR="00EF1BE8" w:rsidRPr="002C0C08" w:rsidRDefault="00342AB6" w:rsidP="008E3E71">
      <w:pPr>
        <w:ind w:left="119"/>
        <w:rPr>
          <w:sz w:val="20"/>
          <w:szCs w:val="20"/>
        </w:rPr>
      </w:pPr>
      <w:r w:rsidRPr="002C0C08">
        <w:rPr>
          <w:sz w:val="20"/>
          <w:szCs w:val="20"/>
        </w:rPr>
        <w:t>Relationship to the candidate and their work (</w:t>
      </w:r>
      <w:r w:rsidRPr="002C0C08">
        <w:rPr>
          <w:i/>
          <w:sz w:val="20"/>
          <w:szCs w:val="20"/>
        </w:rPr>
        <w:t>circle your response</w:t>
      </w:r>
      <w:r w:rsidRPr="002C0C08">
        <w:rPr>
          <w:sz w:val="20"/>
          <w:szCs w:val="20"/>
        </w:rPr>
        <w:t>):</w:t>
      </w:r>
    </w:p>
    <w:p w14:paraId="12C9FEBC" w14:textId="77777777" w:rsidR="00EF1BE8" w:rsidRPr="002C0C08" w:rsidRDefault="00342AB6" w:rsidP="008E3E71">
      <w:pPr>
        <w:pStyle w:val="ListParagraph"/>
        <w:numPr>
          <w:ilvl w:val="0"/>
          <w:numId w:val="3"/>
        </w:numPr>
        <w:tabs>
          <w:tab w:val="left" w:pos="839"/>
          <w:tab w:val="left" w:pos="840"/>
          <w:tab w:val="left" w:pos="2279"/>
          <w:tab w:val="left" w:pos="2999"/>
        </w:tabs>
        <w:ind w:right="910" w:firstLine="0"/>
        <w:rPr>
          <w:sz w:val="20"/>
          <w:szCs w:val="20"/>
        </w:rPr>
      </w:pPr>
      <w:r w:rsidRPr="002C0C08">
        <w:rPr>
          <w:sz w:val="20"/>
          <w:szCs w:val="20"/>
        </w:rPr>
        <w:t>Present or past colleague at same institution, as a student, post-doctoral fellow, or faculty member:</w:t>
      </w:r>
      <w:r w:rsidRPr="002C0C08">
        <w:rPr>
          <w:sz w:val="20"/>
          <w:szCs w:val="20"/>
        </w:rPr>
        <w:tab/>
        <w:t>Yes</w:t>
      </w:r>
      <w:r w:rsidRPr="002C0C08">
        <w:rPr>
          <w:sz w:val="20"/>
          <w:szCs w:val="20"/>
        </w:rPr>
        <w:tab/>
        <w:t>No</w:t>
      </w:r>
    </w:p>
    <w:p w14:paraId="6A3E1E47" w14:textId="77777777" w:rsidR="00EF1BE8" w:rsidRPr="002C0C08" w:rsidRDefault="00EF1BE8" w:rsidP="008E3E71">
      <w:pPr>
        <w:pStyle w:val="BodyText"/>
        <w:rPr>
          <w:sz w:val="20"/>
          <w:szCs w:val="20"/>
        </w:rPr>
      </w:pPr>
    </w:p>
    <w:p w14:paraId="6C1C7B88" w14:textId="77777777" w:rsidR="00EF1BE8" w:rsidRPr="002C0C08" w:rsidRDefault="00342AB6" w:rsidP="00540549">
      <w:pPr>
        <w:pStyle w:val="ListParagraph"/>
        <w:numPr>
          <w:ilvl w:val="0"/>
          <w:numId w:val="3"/>
        </w:numPr>
        <w:tabs>
          <w:tab w:val="left" w:pos="839"/>
          <w:tab w:val="left" w:pos="840"/>
          <w:tab w:val="left" w:pos="2279"/>
          <w:tab w:val="left" w:pos="2999"/>
        </w:tabs>
        <w:ind w:left="839" w:hanging="721"/>
        <w:rPr>
          <w:sz w:val="20"/>
          <w:szCs w:val="20"/>
        </w:rPr>
      </w:pPr>
      <w:r w:rsidRPr="002C0C08">
        <w:rPr>
          <w:sz w:val="20"/>
          <w:szCs w:val="20"/>
        </w:rPr>
        <w:t>Past mentor:</w:t>
      </w:r>
      <w:r w:rsidRPr="002C0C08">
        <w:rPr>
          <w:sz w:val="20"/>
          <w:szCs w:val="20"/>
        </w:rPr>
        <w:tab/>
        <w:t>Yes</w:t>
      </w:r>
      <w:r w:rsidRPr="002C0C08">
        <w:rPr>
          <w:sz w:val="20"/>
          <w:szCs w:val="20"/>
        </w:rPr>
        <w:tab/>
        <w:t>No</w:t>
      </w:r>
    </w:p>
    <w:p w14:paraId="1BBC0645" w14:textId="77777777" w:rsidR="00EF1BE8" w:rsidRPr="002C0C08" w:rsidRDefault="00EF1BE8" w:rsidP="008E3E71">
      <w:pPr>
        <w:pStyle w:val="BodyText"/>
        <w:rPr>
          <w:sz w:val="20"/>
          <w:szCs w:val="20"/>
        </w:rPr>
      </w:pPr>
    </w:p>
    <w:p w14:paraId="17495445" w14:textId="77777777" w:rsidR="00EF1BE8" w:rsidRPr="002C0C08" w:rsidRDefault="00342AB6" w:rsidP="00540549">
      <w:pPr>
        <w:pStyle w:val="ListParagraph"/>
        <w:numPr>
          <w:ilvl w:val="0"/>
          <w:numId w:val="3"/>
        </w:numPr>
        <w:tabs>
          <w:tab w:val="left" w:pos="839"/>
          <w:tab w:val="left" w:pos="840"/>
          <w:tab w:val="left" w:pos="5879"/>
          <w:tab w:val="left" w:pos="6599"/>
        </w:tabs>
        <w:ind w:right="370" w:firstLine="0"/>
        <w:rPr>
          <w:sz w:val="20"/>
          <w:szCs w:val="20"/>
        </w:rPr>
      </w:pPr>
      <w:r w:rsidRPr="002C0C08">
        <w:rPr>
          <w:sz w:val="20"/>
          <w:szCs w:val="20"/>
        </w:rPr>
        <w:t>Co-authored scholarly work/grant proposals in the last 5 years (with the exception of vary large clinical trials where authors have a very distant relationship):</w:t>
      </w:r>
      <w:r w:rsidRPr="002C0C08">
        <w:rPr>
          <w:sz w:val="20"/>
          <w:szCs w:val="20"/>
        </w:rPr>
        <w:tab/>
        <w:t>Yes</w:t>
      </w:r>
      <w:r w:rsidRPr="002C0C08">
        <w:rPr>
          <w:sz w:val="20"/>
          <w:szCs w:val="20"/>
        </w:rPr>
        <w:tab/>
        <w:t>No</w:t>
      </w:r>
    </w:p>
    <w:p w14:paraId="73328E51" w14:textId="77777777" w:rsidR="00EF1BE8" w:rsidRPr="002C0C08" w:rsidRDefault="00EF1BE8" w:rsidP="00540549">
      <w:pPr>
        <w:pStyle w:val="BodyText"/>
        <w:rPr>
          <w:sz w:val="20"/>
          <w:szCs w:val="20"/>
        </w:rPr>
      </w:pPr>
    </w:p>
    <w:p w14:paraId="758A9C8E" w14:textId="77777777" w:rsidR="00EF1BE8" w:rsidRPr="002C0C08" w:rsidRDefault="00342AB6" w:rsidP="00540549">
      <w:pPr>
        <w:pStyle w:val="ListParagraph"/>
        <w:numPr>
          <w:ilvl w:val="0"/>
          <w:numId w:val="3"/>
        </w:numPr>
        <w:tabs>
          <w:tab w:val="left" w:pos="839"/>
          <w:tab w:val="left" w:pos="840"/>
        </w:tabs>
        <w:ind w:left="839" w:hanging="721"/>
        <w:rPr>
          <w:sz w:val="20"/>
          <w:szCs w:val="20"/>
        </w:rPr>
      </w:pPr>
      <w:r w:rsidRPr="002C0C08">
        <w:rPr>
          <w:sz w:val="20"/>
          <w:szCs w:val="20"/>
        </w:rPr>
        <w:t>Other (</w:t>
      </w:r>
      <w:r w:rsidRPr="002C0C08">
        <w:rPr>
          <w:i/>
          <w:sz w:val="20"/>
          <w:szCs w:val="20"/>
        </w:rPr>
        <w:t>please specify</w:t>
      </w:r>
      <w:r w:rsidRPr="002C0C08">
        <w:rPr>
          <w:sz w:val="20"/>
          <w:szCs w:val="20"/>
        </w:rPr>
        <w:t>):</w:t>
      </w:r>
    </w:p>
    <w:p w14:paraId="61A4D969" w14:textId="77777777" w:rsidR="00EF1BE8" w:rsidRPr="002C0C08" w:rsidRDefault="00C15A4D" w:rsidP="008E3E71">
      <w:pPr>
        <w:pStyle w:val="BodyText"/>
        <w:rPr>
          <w:sz w:val="20"/>
          <w:szCs w:val="20"/>
        </w:rPr>
      </w:pPr>
      <w:r w:rsidRPr="002C0C08">
        <w:rPr>
          <w:noProof/>
          <w:sz w:val="20"/>
          <w:szCs w:val="20"/>
        </w:rPr>
        <mc:AlternateContent>
          <mc:Choice Requires="wps">
            <w:drawing>
              <wp:anchor distT="0" distB="0" distL="0" distR="0" simplePos="0" relativeHeight="487588864" behindDoc="1" locked="0" layoutInCell="1" allowOverlap="1" wp14:anchorId="174C691C" wp14:editId="4FA1B1F0">
                <wp:simplePos x="0" y="0"/>
                <wp:positionH relativeFrom="page">
                  <wp:posOffset>1460500</wp:posOffset>
                </wp:positionH>
                <wp:positionV relativeFrom="paragraph">
                  <wp:posOffset>149860</wp:posOffset>
                </wp:positionV>
                <wp:extent cx="4334510" cy="1270"/>
                <wp:effectExtent l="0" t="0" r="0" b="0"/>
                <wp:wrapTopAndBottom/>
                <wp:docPr id="1" name="docshape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4510" cy="1270"/>
                        </a:xfrm>
                        <a:custGeom>
                          <a:avLst/>
                          <a:gdLst>
                            <a:gd name="T0" fmla="+- 0 2300 2300"/>
                            <a:gd name="T1" fmla="*/ T0 w 6826"/>
                            <a:gd name="T2" fmla="+- 0 9125 2300"/>
                            <a:gd name="T3" fmla="*/ T2 w 6826"/>
                          </a:gdLst>
                          <a:ahLst/>
                          <a:cxnLst>
                            <a:cxn ang="0">
                              <a:pos x="T1" y="0"/>
                            </a:cxn>
                            <a:cxn ang="0">
                              <a:pos x="T3" y="0"/>
                            </a:cxn>
                          </a:cxnLst>
                          <a:rect l="0" t="0" r="r" b="b"/>
                          <a:pathLst>
                            <a:path w="6826">
                              <a:moveTo>
                                <a:pt x="0" y="0"/>
                              </a:moveTo>
                              <a:lnTo>
                                <a:pt x="6825"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5378" id="docshape4" o:spid="_x0000_s1026" alt="horizontal line" style="position:absolute;margin-left:115pt;margin-top:11.8pt;width:341.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" path="m,l6825,e" filled="f" strokeweight=".149mm">
                <v:path arrowok="t" o:connecttype="custom" o:connectlocs="0,0;4333875,0" o:connectangles="0,0"/>
                <w10:wrap type="topAndBottom" anchorx="page"/>
              </v:shape>
            </w:pict>
          </mc:Fallback>
        </mc:AlternateContent>
      </w:r>
    </w:p>
    <w:p w14:paraId="0C358BA8" w14:textId="77777777" w:rsidR="00EF1BE8" w:rsidRPr="002C0C08" w:rsidRDefault="00EF1BE8" w:rsidP="00540549">
      <w:pPr>
        <w:pStyle w:val="BodyText"/>
        <w:rPr>
          <w:sz w:val="20"/>
          <w:szCs w:val="20"/>
        </w:rPr>
      </w:pPr>
    </w:p>
    <w:p w14:paraId="7D3B5ED4" w14:textId="77777777" w:rsidR="00EF1BE8" w:rsidRPr="002C0C08" w:rsidRDefault="00EF1BE8" w:rsidP="00540549">
      <w:pPr>
        <w:pStyle w:val="BodyText"/>
        <w:rPr>
          <w:sz w:val="20"/>
          <w:szCs w:val="20"/>
        </w:rPr>
      </w:pPr>
    </w:p>
    <w:p w14:paraId="69B1F10F" w14:textId="77777777" w:rsidR="00EF1BE8" w:rsidRPr="002C0C08" w:rsidRDefault="00342AB6" w:rsidP="00540549">
      <w:pPr>
        <w:ind w:left="119"/>
        <w:rPr>
          <w:sz w:val="20"/>
          <w:szCs w:val="20"/>
        </w:rPr>
      </w:pPr>
      <w:r w:rsidRPr="002C0C08">
        <w:rPr>
          <w:sz w:val="20"/>
          <w:szCs w:val="20"/>
        </w:rPr>
        <w:t>Knowledge of candidate’s work primarily based on (</w:t>
      </w:r>
      <w:r w:rsidRPr="002C0C08">
        <w:rPr>
          <w:i/>
          <w:sz w:val="20"/>
          <w:szCs w:val="20"/>
        </w:rPr>
        <w:t>circle your response</w:t>
      </w:r>
      <w:r w:rsidRPr="002C0C08">
        <w:rPr>
          <w:sz w:val="20"/>
          <w:szCs w:val="20"/>
        </w:rPr>
        <w:t>):</w:t>
      </w:r>
    </w:p>
    <w:p w14:paraId="6A79CB00" w14:textId="77777777" w:rsidR="00EF1BE8" w:rsidRPr="002C0C08" w:rsidRDefault="00EF1BE8" w:rsidP="008E3E71">
      <w:pPr>
        <w:pStyle w:val="BodyText"/>
        <w:rPr>
          <w:sz w:val="20"/>
          <w:szCs w:val="20"/>
        </w:rPr>
      </w:pPr>
    </w:p>
    <w:p w14:paraId="5D6DB72F" w14:textId="77777777" w:rsidR="00EF1BE8" w:rsidRPr="002C0C08" w:rsidRDefault="00342AB6" w:rsidP="00540549">
      <w:pPr>
        <w:pStyle w:val="ListParagraph"/>
        <w:numPr>
          <w:ilvl w:val="0"/>
          <w:numId w:val="2"/>
        </w:numPr>
        <w:tabs>
          <w:tab w:val="left" w:pos="839"/>
          <w:tab w:val="left" w:pos="840"/>
          <w:tab w:val="left" w:pos="3719"/>
          <w:tab w:val="left" w:pos="4439"/>
        </w:tabs>
        <w:ind w:hanging="721"/>
        <w:rPr>
          <w:sz w:val="20"/>
          <w:szCs w:val="20"/>
        </w:rPr>
      </w:pPr>
      <w:r w:rsidRPr="002C0C08">
        <w:rPr>
          <w:sz w:val="20"/>
          <w:szCs w:val="20"/>
        </w:rPr>
        <w:t>Publications and CV:</w:t>
      </w:r>
      <w:r w:rsidRPr="002C0C08">
        <w:rPr>
          <w:sz w:val="20"/>
          <w:szCs w:val="20"/>
        </w:rPr>
        <w:tab/>
        <w:t>Yes</w:t>
      </w:r>
      <w:r w:rsidRPr="002C0C08">
        <w:rPr>
          <w:sz w:val="20"/>
          <w:szCs w:val="20"/>
        </w:rPr>
        <w:tab/>
        <w:t>No</w:t>
      </w:r>
    </w:p>
    <w:p w14:paraId="55196D66" w14:textId="77777777" w:rsidR="00EF1BE8" w:rsidRPr="002C0C08" w:rsidRDefault="00EF1BE8" w:rsidP="008E3E71">
      <w:pPr>
        <w:pStyle w:val="BodyText"/>
        <w:rPr>
          <w:sz w:val="20"/>
          <w:szCs w:val="20"/>
        </w:rPr>
      </w:pPr>
    </w:p>
    <w:p w14:paraId="4B86CE67" w14:textId="77777777" w:rsidR="00EF1BE8" w:rsidRPr="002C0C08" w:rsidRDefault="00342AB6" w:rsidP="00540549">
      <w:pPr>
        <w:pStyle w:val="ListParagraph"/>
        <w:numPr>
          <w:ilvl w:val="0"/>
          <w:numId w:val="2"/>
        </w:numPr>
        <w:tabs>
          <w:tab w:val="left" w:pos="839"/>
          <w:tab w:val="left" w:pos="840"/>
          <w:tab w:val="left" w:pos="3719"/>
          <w:tab w:val="left" w:pos="4439"/>
        </w:tabs>
        <w:ind w:hanging="721"/>
        <w:rPr>
          <w:sz w:val="20"/>
          <w:szCs w:val="20"/>
        </w:rPr>
      </w:pPr>
      <w:r w:rsidRPr="002C0C08">
        <w:rPr>
          <w:sz w:val="20"/>
          <w:szCs w:val="20"/>
        </w:rPr>
        <w:t>Scholarly presentations:</w:t>
      </w:r>
      <w:r w:rsidRPr="002C0C08">
        <w:rPr>
          <w:sz w:val="20"/>
          <w:szCs w:val="20"/>
        </w:rPr>
        <w:tab/>
        <w:t>Yes</w:t>
      </w:r>
      <w:r w:rsidRPr="002C0C08">
        <w:rPr>
          <w:sz w:val="20"/>
          <w:szCs w:val="20"/>
        </w:rPr>
        <w:tab/>
        <w:t>No</w:t>
      </w:r>
    </w:p>
    <w:p w14:paraId="0DA911EC" w14:textId="77777777" w:rsidR="00EF1BE8" w:rsidRPr="002C0C08" w:rsidRDefault="00EF1BE8" w:rsidP="008E3E71">
      <w:pPr>
        <w:pStyle w:val="BodyText"/>
        <w:rPr>
          <w:sz w:val="20"/>
          <w:szCs w:val="20"/>
        </w:rPr>
      </w:pPr>
    </w:p>
    <w:p w14:paraId="2A214FAC" w14:textId="77777777" w:rsidR="00EF1BE8" w:rsidRPr="002C0C08" w:rsidRDefault="00342AB6" w:rsidP="00540549">
      <w:pPr>
        <w:pStyle w:val="ListParagraph"/>
        <w:numPr>
          <w:ilvl w:val="0"/>
          <w:numId w:val="2"/>
        </w:numPr>
        <w:tabs>
          <w:tab w:val="left" w:pos="839"/>
          <w:tab w:val="left" w:pos="841"/>
          <w:tab w:val="left" w:pos="5160"/>
          <w:tab w:val="left" w:pos="5880"/>
        </w:tabs>
        <w:ind w:left="840" w:hanging="721"/>
        <w:rPr>
          <w:sz w:val="20"/>
          <w:szCs w:val="20"/>
        </w:rPr>
      </w:pPr>
      <w:r w:rsidRPr="002C0C08">
        <w:rPr>
          <w:sz w:val="20"/>
          <w:szCs w:val="20"/>
        </w:rPr>
        <w:t>Personal knowledge and discussions:</w:t>
      </w:r>
      <w:r w:rsidRPr="002C0C08">
        <w:rPr>
          <w:sz w:val="20"/>
          <w:szCs w:val="20"/>
        </w:rPr>
        <w:tab/>
        <w:t>Yes</w:t>
      </w:r>
      <w:r w:rsidRPr="002C0C08">
        <w:rPr>
          <w:sz w:val="20"/>
          <w:szCs w:val="20"/>
        </w:rPr>
        <w:tab/>
        <w:t>No</w:t>
      </w:r>
    </w:p>
    <w:p w14:paraId="5AFA3128" w14:textId="77777777" w:rsidR="00EF1BE8" w:rsidRPr="002C0C08" w:rsidRDefault="00EF1BE8" w:rsidP="008E3E71">
      <w:pPr>
        <w:pStyle w:val="BodyText"/>
        <w:rPr>
          <w:sz w:val="20"/>
          <w:szCs w:val="20"/>
        </w:rPr>
      </w:pPr>
    </w:p>
    <w:p w14:paraId="4B3CA3CC" w14:textId="77777777" w:rsidR="00EF1BE8" w:rsidRPr="002C0C08" w:rsidRDefault="00342AB6" w:rsidP="008E3E71">
      <w:pPr>
        <w:pStyle w:val="ListParagraph"/>
        <w:numPr>
          <w:ilvl w:val="0"/>
          <w:numId w:val="2"/>
        </w:numPr>
        <w:tabs>
          <w:tab w:val="left" w:pos="839"/>
          <w:tab w:val="left" w:pos="841"/>
          <w:tab w:val="left" w:pos="7320"/>
          <w:tab w:val="left" w:pos="8040"/>
        </w:tabs>
        <w:ind w:left="840" w:hanging="721"/>
        <w:rPr>
          <w:sz w:val="20"/>
          <w:szCs w:val="20"/>
        </w:rPr>
      </w:pPr>
      <w:r w:rsidRPr="002C0C08">
        <w:rPr>
          <w:sz w:val="20"/>
          <w:szCs w:val="20"/>
        </w:rPr>
        <w:t>Participated on review panels (study section, advisory board, other):</w:t>
      </w:r>
      <w:r w:rsidRPr="002C0C08">
        <w:rPr>
          <w:sz w:val="20"/>
          <w:szCs w:val="20"/>
        </w:rPr>
        <w:tab/>
        <w:t>Yes</w:t>
      </w:r>
      <w:r w:rsidRPr="002C0C08">
        <w:rPr>
          <w:sz w:val="20"/>
          <w:szCs w:val="20"/>
        </w:rPr>
        <w:tab/>
        <w:t>No</w:t>
      </w:r>
    </w:p>
    <w:p w14:paraId="7064A1E6" w14:textId="77777777" w:rsidR="00EF1BE8" w:rsidRPr="002C0C08" w:rsidRDefault="00EF1BE8" w:rsidP="00540549">
      <w:pPr>
        <w:pStyle w:val="BodyText"/>
        <w:rPr>
          <w:sz w:val="20"/>
          <w:szCs w:val="20"/>
        </w:rPr>
      </w:pPr>
    </w:p>
    <w:p w14:paraId="5FA3D7C2" w14:textId="77777777" w:rsidR="00EF1BE8" w:rsidRPr="002C0C08" w:rsidRDefault="00EF1BE8" w:rsidP="00540549">
      <w:pPr>
        <w:pStyle w:val="BodyText"/>
        <w:rPr>
          <w:sz w:val="20"/>
          <w:szCs w:val="20"/>
        </w:rPr>
      </w:pPr>
    </w:p>
    <w:p w14:paraId="2B991A33" w14:textId="77777777" w:rsidR="00EF1BE8" w:rsidRPr="002C0C08" w:rsidRDefault="00EF1BE8" w:rsidP="00540549">
      <w:pPr>
        <w:pStyle w:val="BodyText"/>
        <w:rPr>
          <w:sz w:val="20"/>
          <w:szCs w:val="20"/>
        </w:rPr>
      </w:pPr>
    </w:p>
    <w:p w14:paraId="2B8EDF82" w14:textId="77777777" w:rsidR="00EF1BE8" w:rsidRPr="002C0C08" w:rsidRDefault="00EF1BE8" w:rsidP="008E3E71">
      <w:pPr>
        <w:pStyle w:val="BodyText"/>
        <w:rPr>
          <w:sz w:val="20"/>
          <w:szCs w:val="20"/>
        </w:rPr>
      </w:pPr>
    </w:p>
    <w:p w14:paraId="232154EC" w14:textId="77777777" w:rsidR="00EF1BE8" w:rsidRPr="002C0C08" w:rsidRDefault="00342AB6" w:rsidP="00540549">
      <w:pPr>
        <w:tabs>
          <w:tab w:val="left" w:pos="5880"/>
          <w:tab w:val="left" w:pos="8481"/>
        </w:tabs>
        <w:ind w:left="120"/>
        <w:rPr>
          <w:sz w:val="20"/>
          <w:szCs w:val="20"/>
        </w:rPr>
      </w:pPr>
      <w:r w:rsidRPr="002C0C08">
        <w:rPr>
          <w:sz w:val="20"/>
          <w:szCs w:val="20"/>
        </w:rPr>
        <w:t>External Reviewer (</w:t>
      </w:r>
      <w:r w:rsidRPr="002C0C08">
        <w:rPr>
          <w:i/>
          <w:sz w:val="20"/>
          <w:szCs w:val="20"/>
        </w:rPr>
        <w:t>signature</w:t>
      </w:r>
      <w:r w:rsidRPr="002C0C08">
        <w:rPr>
          <w:sz w:val="20"/>
          <w:szCs w:val="20"/>
        </w:rPr>
        <w:t xml:space="preserve">) </w:t>
      </w:r>
      <w:r w:rsidRPr="002C0C08">
        <w:rPr>
          <w:sz w:val="20"/>
          <w:szCs w:val="20"/>
          <w:u w:val="single"/>
        </w:rPr>
        <w:tab/>
      </w:r>
      <w:r w:rsidRPr="002C0C08">
        <w:rPr>
          <w:sz w:val="20"/>
          <w:szCs w:val="20"/>
        </w:rPr>
        <w:t xml:space="preserve"> Date </w:t>
      </w:r>
      <w:r w:rsidRPr="002C0C08">
        <w:rPr>
          <w:sz w:val="20"/>
          <w:szCs w:val="20"/>
          <w:u w:val="single"/>
        </w:rPr>
        <w:tab/>
      </w:r>
    </w:p>
    <w:p w14:paraId="50C39B47" w14:textId="77777777" w:rsidR="00EF1BE8" w:rsidRPr="002C0C08" w:rsidRDefault="00EF1BE8" w:rsidP="00540549">
      <w:pPr>
        <w:rPr>
          <w:sz w:val="20"/>
          <w:szCs w:val="20"/>
        </w:rPr>
        <w:sectPr w:rsidR="00EF1BE8" w:rsidRPr="002C0C08" w:rsidSect="00081F5F">
          <w:headerReference w:type="default" r:id="rId24"/>
          <w:pgSz w:w="12240" w:h="15840"/>
          <w:pgMar w:top="1320" w:right="1540" w:bottom="900" w:left="1460" w:header="0" w:footer="680" w:gutter="0"/>
          <w:cols w:space="720"/>
        </w:sectPr>
      </w:pPr>
    </w:p>
    <w:p w14:paraId="7B28DFCF" w14:textId="77777777" w:rsidR="00EF1BE8" w:rsidRPr="002C0C08" w:rsidRDefault="00342AB6" w:rsidP="00D03D26">
      <w:pPr>
        <w:pStyle w:val="Heading2"/>
        <w:spacing w:before="0"/>
        <w:ind w:left="2363" w:right="2382"/>
        <w:rPr>
          <w:sz w:val="20"/>
          <w:szCs w:val="20"/>
        </w:rPr>
      </w:pPr>
      <w:r w:rsidRPr="002C0C08">
        <w:rPr>
          <w:sz w:val="20"/>
          <w:szCs w:val="20"/>
        </w:rPr>
        <w:lastRenderedPageBreak/>
        <w:t>APPENDIX C</w:t>
      </w:r>
    </w:p>
    <w:p w14:paraId="6A1F136A" w14:textId="1D2F4DCE" w:rsidR="00EF1BE8" w:rsidRPr="002C0C08" w:rsidRDefault="00342AB6" w:rsidP="00D03D26">
      <w:pPr>
        <w:ind w:left="119" w:right="260"/>
        <w:rPr>
          <w:i/>
          <w:iCs/>
          <w:sz w:val="20"/>
          <w:szCs w:val="20"/>
        </w:rPr>
      </w:pPr>
      <w:r w:rsidRPr="002C0C08">
        <w:rPr>
          <w:i/>
          <w:iCs/>
          <w:sz w:val="20"/>
          <w:szCs w:val="20"/>
        </w:rPr>
        <w:t>This list provides examples of diversity, equity, and inclusion activities and outcomes. This list is not comprehensive; there are other activities that satisfy the School’s expectations, and other examples may be added to this Appendix in the future.</w:t>
      </w:r>
    </w:p>
    <w:p w14:paraId="4538B63B" w14:textId="77777777" w:rsidR="00EF1BE8" w:rsidRPr="002C0C08" w:rsidRDefault="00EF1BE8" w:rsidP="00D03D26">
      <w:pPr>
        <w:pStyle w:val="BodyText"/>
        <w:rPr>
          <w:i/>
          <w:sz w:val="20"/>
          <w:szCs w:val="20"/>
        </w:rPr>
      </w:pPr>
    </w:p>
    <w:p w14:paraId="2BB3BE6A" w14:textId="77777777" w:rsidR="00EF1BE8" w:rsidRPr="002C0C08" w:rsidRDefault="00342AB6" w:rsidP="00540549">
      <w:pPr>
        <w:pStyle w:val="Heading3"/>
        <w:numPr>
          <w:ilvl w:val="0"/>
          <w:numId w:val="1"/>
        </w:numPr>
        <w:tabs>
          <w:tab w:val="left" w:pos="891"/>
          <w:tab w:val="left" w:pos="892"/>
        </w:tabs>
        <w:rPr>
          <w:sz w:val="20"/>
          <w:szCs w:val="20"/>
        </w:rPr>
      </w:pPr>
      <w:r w:rsidRPr="002C0C08">
        <w:rPr>
          <w:sz w:val="20"/>
          <w:szCs w:val="20"/>
        </w:rPr>
        <w:t>Publication/Dissemination</w:t>
      </w:r>
    </w:p>
    <w:p w14:paraId="299CBF34" w14:textId="77777777" w:rsidR="00EF1BE8" w:rsidRPr="002C0C08" w:rsidRDefault="00342AB6" w:rsidP="00D03D26">
      <w:pPr>
        <w:pStyle w:val="ListParagraph"/>
        <w:numPr>
          <w:ilvl w:val="1"/>
          <w:numId w:val="1"/>
        </w:numPr>
        <w:tabs>
          <w:tab w:val="left" w:pos="1199"/>
        </w:tabs>
        <w:ind w:right="60"/>
        <w:rPr>
          <w:sz w:val="20"/>
          <w:szCs w:val="20"/>
        </w:rPr>
      </w:pPr>
      <w:r w:rsidRPr="002C0C08">
        <w:rPr>
          <w:sz w:val="20"/>
          <w:szCs w:val="20"/>
        </w:rPr>
        <w:t>Publications about DEI in any venue demonstrating impact (e.g., targeted disciplinary venues) and/or through alternative ways of dissemination (e.g., altmetrics; blog analytics)</w:t>
      </w:r>
    </w:p>
    <w:p w14:paraId="7D5FE76F" w14:textId="1AC99A16" w:rsidR="00EF1BE8" w:rsidRPr="002C0C08" w:rsidRDefault="00342AB6" w:rsidP="00D03D26">
      <w:pPr>
        <w:pStyle w:val="ListParagraph"/>
        <w:numPr>
          <w:ilvl w:val="1"/>
          <w:numId w:val="1"/>
        </w:numPr>
        <w:tabs>
          <w:tab w:val="left" w:pos="1199"/>
        </w:tabs>
        <w:ind w:right="60"/>
        <w:rPr>
          <w:sz w:val="20"/>
          <w:szCs w:val="20"/>
        </w:rPr>
      </w:pPr>
      <w:r w:rsidRPr="002C0C08">
        <w:rPr>
          <w:sz w:val="20"/>
          <w:szCs w:val="20"/>
        </w:rPr>
        <w:t xml:space="preserve">Sharing related scholarship in open access journals, open platforms, or </w:t>
      </w:r>
      <w:r w:rsidR="00B8385B" w:rsidRPr="002C0C08">
        <w:rPr>
          <w:sz w:val="20"/>
          <w:szCs w:val="20"/>
        </w:rPr>
        <w:t>Indiana University Indianapolis</w:t>
      </w:r>
      <w:r w:rsidRPr="002C0C08">
        <w:rPr>
          <w:sz w:val="20"/>
          <w:szCs w:val="20"/>
        </w:rPr>
        <w:t xml:space="preserve"> institutional repositories (ScholarWorks &amp; DataWorks) to support knowledge equity</w:t>
      </w:r>
    </w:p>
    <w:p w14:paraId="633E7A58" w14:textId="77777777" w:rsidR="00EF1BE8" w:rsidRPr="002C0C08" w:rsidRDefault="00342AB6" w:rsidP="00540549">
      <w:pPr>
        <w:pStyle w:val="ListParagraph"/>
        <w:numPr>
          <w:ilvl w:val="1"/>
          <w:numId w:val="1"/>
        </w:numPr>
        <w:tabs>
          <w:tab w:val="left" w:pos="1199"/>
        </w:tabs>
        <w:ind w:right="635"/>
        <w:rPr>
          <w:sz w:val="20"/>
          <w:szCs w:val="20"/>
        </w:rPr>
      </w:pPr>
      <w:r w:rsidRPr="002C0C08">
        <w:rPr>
          <w:sz w:val="20"/>
          <w:szCs w:val="20"/>
        </w:rPr>
        <w:t>Conference presentations and/or invited speaking engagements (e.g., keynote addresses, workshops, guest lectures); community-based, national, and/or international</w:t>
      </w:r>
    </w:p>
    <w:p w14:paraId="6EE866E5" w14:textId="77777777" w:rsidR="00EF1BE8" w:rsidRPr="002C0C08" w:rsidRDefault="00342AB6" w:rsidP="008E3E71">
      <w:pPr>
        <w:pStyle w:val="ListParagraph"/>
        <w:numPr>
          <w:ilvl w:val="1"/>
          <w:numId w:val="1"/>
        </w:numPr>
        <w:tabs>
          <w:tab w:val="left" w:pos="1199"/>
        </w:tabs>
        <w:ind w:hanging="270"/>
        <w:rPr>
          <w:sz w:val="20"/>
          <w:szCs w:val="20"/>
        </w:rPr>
      </w:pPr>
      <w:r w:rsidRPr="002C0C08">
        <w:rPr>
          <w:sz w:val="20"/>
          <w:szCs w:val="20"/>
        </w:rPr>
        <w:t>Policy work and impacts related to DEI</w:t>
      </w:r>
    </w:p>
    <w:p w14:paraId="64C052BB" w14:textId="77777777" w:rsidR="00EF1BE8" w:rsidRPr="002C0C08" w:rsidRDefault="00EF1BE8" w:rsidP="008E3E71">
      <w:pPr>
        <w:pStyle w:val="BodyText"/>
        <w:rPr>
          <w:sz w:val="20"/>
          <w:szCs w:val="20"/>
        </w:rPr>
      </w:pPr>
    </w:p>
    <w:p w14:paraId="4132AD5F" w14:textId="77777777" w:rsidR="00EF1BE8" w:rsidRPr="002C0C08" w:rsidRDefault="00342AB6" w:rsidP="008E3E71">
      <w:pPr>
        <w:pStyle w:val="Heading3"/>
        <w:numPr>
          <w:ilvl w:val="0"/>
          <w:numId w:val="1"/>
        </w:numPr>
        <w:tabs>
          <w:tab w:val="left" w:pos="891"/>
          <w:tab w:val="left" w:pos="892"/>
        </w:tabs>
        <w:ind w:hanging="774"/>
        <w:rPr>
          <w:sz w:val="20"/>
          <w:szCs w:val="20"/>
        </w:rPr>
      </w:pPr>
      <w:r w:rsidRPr="002C0C08">
        <w:rPr>
          <w:sz w:val="20"/>
          <w:szCs w:val="20"/>
        </w:rPr>
        <w:t>Grants</w:t>
      </w:r>
    </w:p>
    <w:p w14:paraId="5031DC65" w14:textId="77777777" w:rsidR="00EF1BE8" w:rsidRPr="002C0C08" w:rsidRDefault="00342AB6" w:rsidP="008E3E71">
      <w:pPr>
        <w:pStyle w:val="ListParagraph"/>
        <w:numPr>
          <w:ilvl w:val="1"/>
          <w:numId w:val="1"/>
        </w:numPr>
        <w:tabs>
          <w:tab w:val="left" w:pos="1199"/>
        </w:tabs>
        <w:ind w:hanging="270"/>
        <w:rPr>
          <w:sz w:val="20"/>
          <w:szCs w:val="20"/>
        </w:rPr>
      </w:pPr>
      <w:r w:rsidRPr="002C0C08">
        <w:rPr>
          <w:sz w:val="20"/>
          <w:szCs w:val="20"/>
        </w:rPr>
        <w:t>Major grants related to DEI</w:t>
      </w:r>
    </w:p>
    <w:p w14:paraId="23E0E217" w14:textId="77777777" w:rsidR="00EF1BE8" w:rsidRPr="002C0C08" w:rsidRDefault="00342AB6" w:rsidP="008E3E71">
      <w:pPr>
        <w:pStyle w:val="ListParagraph"/>
        <w:numPr>
          <w:ilvl w:val="1"/>
          <w:numId w:val="1"/>
        </w:numPr>
        <w:tabs>
          <w:tab w:val="left" w:pos="1199"/>
        </w:tabs>
        <w:ind w:hanging="270"/>
        <w:rPr>
          <w:sz w:val="20"/>
          <w:szCs w:val="20"/>
        </w:rPr>
      </w:pPr>
      <w:r w:rsidRPr="002C0C08">
        <w:rPr>
          <w:sz w:val="20"/>
          <w:szCs w:val="20"/>
        </w:rPr>
        <w:t>Grants serving communities of color or other marginalized communities</w:t>
      </w:r>
    </w:p>
    <w:p w14:paraId="054E4634" w14:textId="77777777" w:rsidR="00EF1BE8" w:rsidRPr="002C0C08" w:rsidRDefault="00342AB6" w:rsidP="008E3E71">
      <w:pPr>
        <w:pStyle w:val="ListParagraph"/>
        <w:numPr>
          <w:ilvl w:val="1"/>
          <w:numId w:val="1"/>
        </w:numPr>
        <w:tabs>
          <w:tab w:val="left" w:pos="1199"/>
        </w:tabs>
        <w:ind w:hanging="270"/>
        <w:rPr>
          <w:sz w:val="20"/>
          <w:szCs w:val="20"/>
        </w:rPr>
      </w:pPr>
      <w:r w:rsidRPr="002C0C08">
        <w:rPr>
          <w:sz w:val="20"/>
          <w:szCs w:val="20"/>
        </w:rPr>
        <w:t>Grants that include rationale related to DEI in the work/research to be conducted</w:t>
      </w:r>
    </w:p>
    <w:p w14:paraId="26E7F50F" w14:textId="77777777" w:rsidR="00EF1BE8" w:rsidRPr="002C0C08" w:rsidRDefault="00342AB6" w:rsidP="008E3E71">
      <w:pPr>
        <w:pStyle w:val="ListParagraph"/>
        <w:numPr>
          <w:ilvl w:val="1"/>
          <w:numId w:val="1"/>
        </w:numPr>
        <w:tabs>
          <w:tab w:val="left" w:pos="1198"/>
        </w:tabs>
        <w:ind w:left="1197"/>
        <w:rPr>
          <w:sz w:val="20"/>
          <w:szCs w:val="20"/>
        </w:rPr>
      </w:pPr>
      <w:r w:rsidRPr="002C0C08">
        <w:rPr>
          <w:sz w:val="20"/>
          <w:szCs w:val="20"/>
        </w:rPr>
        <w:t>Internal grants awarded for DEI work</w:t>
      </w:r>
    </w:p>
    <w:p w14:paraId="2BB114D2" w14:textId="77777777" w:rsidR="00EF1BE8" w:rsidRPr="002C0C08" w:rsidRDefault="00EF1BE8" w:rsidP="008E3E71">
      <w:pPr>
        <w:pStyle w:val="BodyText"/>
        <w:rPr>
          <w:sz w:val="20"/>
          <w:szCs w:val="20"/>
        </w:rPr>
      </w:pPr>
    </w:p>
    <w:p w14:paraId="437883FF" w14:textId="77777777" w:rsidR="00EF1BE8" w:rsidRPr="002C0C08" w:rsidRDefault="00342AB6" w:rsidP="008E3E71">
      <w:pPr>
        <w:pStyle w:val="Heading3"/>
        <w:numPr>
          <w:ilvl w:val="0"/>
          <w:numId w:val="1"/>
        </w:numPr>
        <w:tabs>
          <w:tab w:val="left" w:pos="890"/>
          <w:tab w:val="left" w:pos="891"/>
        </w:tabs>
        <w:ind w:left="890"/>
        <w:rPr>
          <w:sz w:val="20"/>
          <w:szCs w:val="20"/>
        </w:rPr>
      </w:pPr>
      <w:r w:rsidRPr="002C0C08">
        <w:rPr>
          <w:sz w:val="20"/>
          <w:szCs w:val="20"/>
        </w:rPr>
        <w:t>Mentorship</w:t>
      </w:r>
    </w:p>
    <w:p w14:paraId="016CA0F6" w14:textId="77777777" w:rsidR="00EF1BE8" w:rsidRPr="002C0C08" w:rsidRDefault="00342AB6" w:rsidP="008E3E71">
      <w:pPr>
        <w:pStyle w:val="ListParagraph"/>
        <w:numPr>
          <w:ilvl w:val="1"/>
          <w:numId w:val="1"/>
        </w:numPr>
        <w:tabs>
          <w:tab w:val="left" w:pos="1198"/>
        </w:tabs>
        <w:ind w:left="1197" w:right="674"/>
        <w:rPr>
          <w:sz w:val="20"/>
          <w:szCs w:val="20"/>
        </w:rPr>
      </w:pPr>
      <w:r w:rsidRPr="002C0C08">
        <w:rPr>
          <w:sz w:val="20"/>
          <w:szCs w:val="20"/>
        </w:rPr>
        <w:t>Advising and/or mentoring underrepresented and/or international students (high school, undergrad, graduate, professional students)</w:t>
      </w:r>
    </w:p>
    <w:p w14:paraId="3F67B03E" w14:textId="77777777" w:rsidR="00EF1BE8" w:rsidRPr="002C0C08" w:rsidRDefault="00342AB6" w:rsidP="00540549">
      <w:pPr>
        <w:pStyle w:val="ListParagraph"/>
        <w:numPr>
          <w:ilvl w:val="1"/>
          <w:numId w:val="1"/>
        </w:numPr>
        <w:tabs>
          <w:tab w:val="left" w:pos="1198"/>
        </w:tabs>
        <w:ind w:left="1197" w:right="256"/>
        <w:rPr>
          <w:sz w:val="20"/>
          <w:szCs w:val="20"/>
        </w:rPr>
      </w:pPr>
      <w:r w:rsidRPr="002C0C08">
        <w:rPr>
          <w:sz w:val="20"/>
          <w:szCs w:val="20"/>
        </w:rPr>
        <w:t>Serving as an advisor to a student organization related to marginalized/minoritized groups (e.g., Black Student Union, Alliance for Immigrant Justice, Latino Student Association, etc.)</w:t>
      </w:r>
    </w:p>
    <w:p w14:paraId="07E1212E" w14:textId="77777777" w:rsidR="00EF1BE8" w:rsidRPr="002C0C08" w:rsidRDefault="00342AB6" w:rsidP="008E3E71">
      <w:pPr>
        <w:pStyle w:val="ListParagraph"/>
        <w:numPr>
          <w:ilvl w:val="1"/>
          <w:numId w:val="1"/>
        </w:numPr>
        <w:tabs>
          <w:tab w:val="left" w:pos="1198"/>
        </w:tabs>
        <w:ind w:left="1197" w:hanging="270"/>
        <w:rPr>
          <w:sz w:val="20"/>
          <w:szCs w:val="20"/>
        </w:rPr>
      </w:pPr>
      <w:r w:rsidRPr="002C0C08">
        <w:rPr>
          <w:sz w:val="20"/>
          <w:szCs w:val="20"/>
        </w:rPr>
        <w:t>Mentoring faculty/staff from underrepresented groups</w:t>
      </w:r>
    </w:p>
    <w:p w14:paraId="62C29ACE" w14:textId="77777777" w:rsidR="00EF1BE8" w:rsidRPr="002C0C08" w:rsidRDefault="00342AB6" w:rsidP="00540549">
      <w:pPr>
        <w:pStyle w:val="ListParagraph"/>
        <w:numPr>
          <w:ilvl w:val="1"/>
          <w:numId w:val="1"/>
        </w:numPr>
        <w:tabs>
          <w:tab w:val="left" w:pos="1198"/>
        </w:tabs>
        <w:ind w:left="1197" w:hanging="270"/>
        <w:rPr>
          <w:sz w:val="20"/>
          <w:szCs w:val="20"/>
        </w:rPr>
      </w:pPr>
      <w:r w:rsidRPr="002C0C08">
        <w:rPr>
          <w:sz w:val="20"/>
          <w:szCs w:val="20"/>
        </w:rPr>
        <w:t>Mentoring faculty engaged in community-based research</w:t>
      </w:r>
    </w:p>
    <w:p w14:paraId="5EB9BA69" w14:textId="77777777" w:rsidR="00EF1BE8" w:rsidRPr="002C0C08" w:rsidRDefault="00342AB6" w:rsidP="008E3E71">
      <w:pPr>
        <w:pStyle w:val="ListParagraph"/>
        <w:numPr>
          <w:ilvl w:val="1"/>
          <w:numId w:val="1"/>
        </w:numPr>
        <w:tabs>
          <w:tab w:val="left" w:pos="1198"/>
        </w:tabs>
        <w:ind w:left="1197" w:right="344"/>
        <w:rPr>
          <w:sz w:val="20"/>
          <w:szCs w:val="20"/>
        </w:rPr>
      </w:pPr>
      <w:r w:rsidRPr="002C0C08">
        <w:rPr>
          <w:sz w:val="20"/>
          <w:szCs w:val="20"/>
        </w:rPr>
        <w:t>Program development and leadership targeting underrepresented students of all levels (high school, undergrad, graduate, professional students)</w:t>
      </w:r>
    </w:p>
    <w:p w14:paraId="1631255D" w14:textId="77777777" w:rsidR="00EF1BE8" w:rsidRPr="002C0C08" w:rsidRDefault="00EF1BE8" w:rsidP="008E3E71">
      <w:pPr>
        <w:pStyle w:val="BodyText"/>
        <w:rPr>
          <w:sz w:val="20"/>
          <w:szCs w:val="20"/>
        </w:rPr>
      </w:pPr>
    </w:p>
    <w:p w14:paraId="767324BE" w14:textId="77777777" w:rsidR="00EF1BE8" w:rsidRPr="002C0C08" w:rsidRDefault="00342AB6" w:rsidP="00540549">
      <w:pPr>
        <w:pStyle w:val="Heading3"/>
        <w:numPr>
          <w:ilvl w:val="0"/>
          <w:numId w:val="1"/>
        </w:numPr>
        <w:tabs>
          <w:tab w:val="left" w:pos="889"/>
          <w:tab w:val="left" w:pos="890"/>
        </w:tabs>
        <w:ind w:left="889" w:hanging="774"/>
        <w:rPr>
          <w:sz w:val="20"/>
          <w:szCs w:val="20"/>
        </w:rPr>
      </w:pPr>
      <w:r w:rsidRPr="002C0C08">
        <w:rPr>
          <w:sz w:val="20"/>
          <w:szCs w:val="20"/>
        </w:rPr>
        <w:t>Teaching</w:t>
      </w:r>
    </w:p>
    <w:p w14:paraId="3A558390" w14:textId="77777777" w:rsidR="00EF1BE8" w:rsidRPr="002C0C08" w:rsidRDefault="00342AB6" w:rsidP="008E3E71">
      <w:pPr>
        <w:pStyle w:val="ListParagraph"/>
        <w:numPr>
          <w:ilvl w:val="1"/>
          <w:numId w:val="1"/>
        </w:numPr>
        <w:tabs>
          <w:tab w:val="left" w:pos="1197"/>
        </w:tabs>
        <w:ind w:left="1196" w:right="732"/>
        <w:rPr>
          <w:sz w:val="20"/>
          <w:szCs w:val="20"/>
        </w:rPr>
      </w:pPr>
      <w:r w:rsidRPr="002C0C08">
        <w:rPr>
          <w:sz w:val="20"/>
          <w:szCs w:val="20"/>
        </w:rPr>
        <w:t>Inclusive teaching practices (e.g., pedagogy, DEI content, multicultural courses, global perspectives)</w:t>
      </w:r>
    </w:p>
    <w:p w14:paraId="7DA4EC92" w14:textId="77777777" w:rsidR="00EF1BE8" w:rsidRPr="002C0C08" w:rsidRDefault="00342AB6" w:rsidP="008E3E71">
      <w:pPr>
        <w:pStyle w:val="ListParagraph"/>
        <w:numPr>
          <w:ilvl w:val="1"/>
          <w:numId w:val="1"/>
        </w:numPr>
        <w:tabs>
          <w:tab w:val="left" w:pos="1197"/>
        </w:tabs>
        <w:ind w:left="1196"/>
        <w:rPr>
          <w:sz w:val="20"/>
          <w:szCs w:val="20"/>
        </w:rPr>
      </w:pPr>
      <w:r w:rsidRPr="002C0C08">
        <w:rPr>
          <w:sz w:val="20"/>
          <w:szCs w:val="20"/>
        </w:rPr>
        <w:t>Curriculum development and/or revision related to DEI</w:t>
      </w:r>
    </w:p>
    <w:p w14:paraId="3B14A542" w14:textId="77777777" w:rsidR="00EF1BE8" w:rsidRPr="002C0C08" w:rsidRDefault="00EF1BE8" w:rsidP="008E3E71">
      <w:pPr>
        <w:pStyle w:val="BodyText"/>
        <w:rPr>
          <w:sz w:val="20"/>
          <w:szCs w:val="20"/>
        </w:rPr>
      </w:pPr>
    </w:p>
    <w:p w14:paraId="2214B782" w14:textId="77777777" w:rsidR="00EF1BE8" w:rsidRPr="002C0C08" w:rsidRDefault="00342AB6" w:rsidP="008E3E71">
      <w:pPr>
        <w:pStyle w:val="Heading3"/>
        <w:numPr>
          <w:ilvl w:val="0"/>
          <w:numId w:val="1"/>
        </w:numPr>
        <w:tabs>
          <w:tab w:val="left" w:pos="836"/>
          <w:tab w:val="left" w:pos="837"/>
        </w:tabs>
        <w:ind w:left="836" w:hanging="721"/>
        <w:rPr>
          <w:sz w:val="20"/>
          <w:szCs w:val="20"/>
        </w:rPr>
      </w:pPr>
      <w:r w:rsidRPr="002C0C08">
        <w:rPr>
          <w:sz w:val="20"/>
          <w:szCs w:val="20"/>
        </w:rPr>
        <w:t>Research/Discovery/Creative Activity</w:t>
      </w:r>
    </w:p>
    <w:p w14:paraId="0FD0CA99" w14:textId="77777777" w:rsidR="00EF1BE8" w:rsidRPr="002C0C08" w:rsidRDefault="00342AB6" w:rsidP="008E3E71">
      <w:pPr>
        <w:pStyle w:val="ListParagraph"/>
        <w:numPr>
          <w:ilvl w:val="1"/>
          <w:numId w:val="1"/>
        </w:numPr>
        <w:tabs>
          <w:tab w:val="left" w:pos="1197"/>
        </w:tabs>
        <w:ind w:left="1196" w:hanging="270"/>
        <w:rPr>
          <w:sz w:val="20"/>
          <w:szCs w:val="20"/>
        </w:rPr>
      </w:pPr>
      <w:r w:rsidRPr="002C0C08">
        <w:rPr>
          <w:sz w:val="20"/>
          <w:szCs w:val="20"/>
        </w:rPr>
        <w:t>Research agenda pertaining to DEI (e.g., health disparities)</w:t>
      </w:r>
    </w:p>
    <w:p w14:paraId="57F9174A" w14:textId="77777777" w:rsidR="00EF1BE8" w:rsidRPr="002C0C08" w:rsidRDefault="00342AB6" w:rsidP="008E3E71">
      <w:pPr>
        <w:pStyle w:val="ListParagraph"/>
        <w:numPr>
          <w:ilvl w:val="1"/>
          <w:numId w:val="1"/>
        </w:numPr>
        <w:tabs>
          <w:tab w:val="left" w:pos="1197"/>
        </w:tabs>
        <w:ind w:left="1196" w:right="1915"/>
        <w:rPr>
          <w:sz w:val="20"/>
          <w:szCs w:val="20"/>
        </w:rPr>
      </w:pPr>
      <w:r w:rsidRPr="002C0C08">
        <w:rPr>
          <w:sz w:val="20"/>
          <w:szCs w:val="20"/>
        </w:rPr>
        <w:t>Any efforts of “diversifying” - e.g., collections; newly created programs; innovations/interventions related to DEI</w:t>
      </w:r>
    </w:p>
    <w:p w14:paraId="09FF4535" w14:textId="77777777" w:rsidR="00EF1BE8" w:rsidRPr="002C0C08" w:rsidRDefault="00342AB6" w:rsidP="00540549">
      <w:pPr>
        <w:pStyle w:val="ListParagraph"/>
        <w:numPr>
          <w:ilvl w:val="1"/>
          <w:numId w:val="1"/>
        </w:numPr>
        <w:tabs>
          <w:tab w:val="left" w:pos="1197"/>
        </w:tabs>
        <w:ind w:left="1196" w:right="262"/>
        <w:rPr>
          <w:sz w:val="20"/>
          <w:szCs w:val="20"/>
        </w:rPr>
      </w:pPr>
      <w:r w:rsidRPr="002C0C08">
        <w:rPr>
          <w:sz w:val="20"/>
          <w:szCs w:val="20"/>
        </w:rPr>
        <w:t>Elevate collection/data development practices to be more inclusive and equitable in an effort to better represent a diverse range of voices and perspectives</w:t>
      </w:r>
    </w:p>
    <w:p w14:paraId="210EB522" w14:textId="77777777" w:rsidR="00EF1BE8" w:rsidRPr="002C0C08" w:rsidRDefault="00342AB6" w:rsidP="00540549">
      <w:pPr>
        <w:pStyle w:val="ListParagraph"/>
        <w:numPr>
          <w:ilvl w:val="1"/>
          <w:numId w:val="1"/>
        </w:numPr>
        <w:tabs>
          <w:tab w:val="left" w:pos="1197"/>
        </w:tabs>
        <w:ind w:left="1196" w:right="268"/>
        <w:rPr>
          <w:sz w:val="20"/>
          <w:szCs w:val="20"/>
        </w:rPr>
      </w:pPr>
      <w:r w:rsidRPr="002C0C08">
        <w:rPr>
          <w:sz w:val="20"/>
          <w:szCs w:val="20"/>
        </w:rPr>
        <w:t>Scholarship/research/creative activity focused on minoritized and diverse communities (e.g., community engaged research)</w:t>
      </w:r>
    </w:p>
    <w:p w14:paraId="4C4799A4" w14:textId="77777777" w:rsidR="00EF1BE8" w:rsidRPr="002C0C08" w:rsidRDefault="00342AB6" w:rsidP="008E3E71">
      <w:pPr>
        <w:pStyle w:val="ListParagraph"/>
        <w:numPr>
          <w:ilvl w:val="1"/>
          <w:numId w:val="1"/>
        </w:numPr>
        <w:tabs>
          <w:tab w:val="left" w:pos="1196"/>
        </w:tabs>
        <w:ind w:left="1195"/>
        <w:rPr>
          <w:sz w:val="20"/>
          <w:szCs w:val="20"/>
        </w:rPr>
      </w:pPr>
      <w:r w:rsidRPr="002C0C08">
        <w:rPr>
          <w:sz w:val="20"/>
          <w:szCs w:val="20"/>
        </w:rPr>
        <w:t>Recruitment and/or retention of diverse research teams/personnel</w:t>
      </w:r>
    </w:p>
    <w:p w14:paraId="71DDFC92" w14:textId="77777777" w:rsidR="00EF1BE8" w:rsidRPr="002C0C08" w:rsidRDefault="00342AB6" w:rsidP="00540549">
      <w:pPr>
        <w:pStyle w:val="ListParagraph"/>
        <w:numPr>
          <w:ilvl w:val="1"/>
          <w:numId w:val="1"/>
        </w:numPr>
        <w:tabs>
          <w:tab w:val="left" w:pos="1196"/>
        </w:tabs>
        <w:ind w:left="1195"/>
        <w:rPr>
          <w:sz w:val="20"/>
          <w:szCs w:val="20"/>
        </w:rPr>
      </w:pPr>
      <w:r w:rsidRPr="002C0C08">
        <w:rPr>
          <w:sz w:val="20"/>
          <w:szCs w:val="20"/>
        </w:rPr>
        <w:t>Collaboration in creative activity with underrepresented and/or international researchers</w:t>
      </w:r>
    </w:p>
    <w:p w14:paraId="03C0B4C4" w14:textId="532869FB" w:rsidR="003C70D6" w:rsidRPr="002C0C08" w:rsidRDefault="003C70D6" w:rsidP="00540549">
      <w:pPr>
        <w:pStyle w:val="ListParagraph"/>
        <w:numPr>
          <w:ilvl w:val="1"/>
          <w:numId w:val="1"/>
        </w:numPr>
        <w:tabs>
          <w:tab w:val="left" w:pos="1196"/>
        </w:tabs>
        <w:ind w:left="1195"/>
        <w:rPr>
          <w:sz w:val="20"/>
          <w:szCs w:val="20"/>
        </w:rPr>
      </w:pPr>
      <w:r w:rsidRPr="002C0C08">
        <w:rPr>
          <w:color w:val="000000"/>
          <w:sz w:val="20"/>
          <w:szCs w:val="20"/>
        </w:rPr>
        <w:t>Patents, invention disclosures, startup formation, licensing, and/or other forms innovation and entrepreneurship</w:t>
      </w:r>
    </w:p>
    <w:p w14:paraId="6C2F5EA1" w14:textId="77777777" w:rsidR="00EF1BE8" w:rsidRPr="002C0C08" w:rsidRDefault="00EF1BE8" w:rsidP="008E3E71">
      <w:pPr>
        <w:pStyle w:val="BodyText"/>
        <w:rPr>
          <w:sz w:val="20"/>
          <w:szCs w:val="20"/>
        </w:rPr>
      </w:pPr>
    </w:p>
    <w:p w14:paraId="704E2E69" w14:textId="77777777" w:rsidR="00EF1BE8" w:rsidRPr="002C0C08" w:rsidRDefault="00342AB6" w:rsidP="00540549">
      <w:pPr>
        <w:pStyle w:val="Heading3"/>
        <w:numPr>
          <w:ilvl w:val="0"/>
          <w:numId w:val="1"/>
        </w:numPr>
        <w:tabs>
          <w:tab w:val="left" w:pos="888"/>
          <w:tab w:val="left" w:pos="889"/>
        </w:tabs>
        <w:ind w:left="888" w:hanging="774"/>
        <w:rPr>
          <w:sz w:val="20"/>
          <w:szCs w:val="20"/>
        </w:rPr>
      </w:pPr>
      <w:r w:rsidRPr="002C0C08">
        <w:rPr>
          <w:sz w:val="20"/>
          <w:szCs w:val="20"/>
        </w:rPr>
        <w:t>Service</w:t>
      </w:r>
    </w:p>
    <w:p w14:paraId="02576FF4" w14:textId="77777777" w:rsidR="00EF1BE8" w:rsidRPr="002C0C08" w:rsidRDefault="00342AB6" w:rsidP="008E3E71">
      <w:pPr>
        <w:pStyle w:val="ListParagraph"/>
        <w:numPr>
          <w:ilvl w:val="1"/>
          <w:numId w:val="1"/>
        </w:numPr>
        <w:tabs>
          <w:tab w:val="left" w:pos="1196"/>
        </w:tabs>
        <w:ind w:left="1195" w:hanging="270"/>
        <w:rPr>
          <w:sz w:val="20"/>
          <w:szCs w:val="20"/>
        </w:rPr>
      </w:pPr>
      <w:r w:rsidRPr="002C0C08">
        <w:rPr>
          <w:sz w:val="20"/>
          <w:szCs w:val="20"/>
        </w:rPr>
        <w:t>Community board service linked to DEI</w:t>
      </w:r>
    </w:p>
    <w:p w14:paraId="6F6E9637" w14:textId="77777777" w:rsidR="00EF1BE8" w:rsidRPr="002C0C08" w:rsidRDefault="00342AB6" w:rsidP="008E3E71">
      <w:pPr>
        <w:pStyle w:val="ListParagraph"/>
        <w:numPr>
          <w:ilvl w:val="1"/>
          <w:numId w:val="1"/>
        </w:numPr>
        <w:tabs>
          <w:tab w:val="left" w:pos="1196"/>
        </w:tabs>
        <w:ind w:left="1195" w:hanging="270"/>
        <w:rPr>
          <w:sz w:val="20"/>
          <w:szCs w:val="20"/>
        </w:rPr>
      </w:pPr>
      <w:r w:rsidRPr="002C0C08">
        <w:rPr>
          <w:sz w:val="20"/>
          <w:szCs w:val="20"/>
        </w:rPr>
        <w:t>Chairing a DEI-based board</w:t>
      </w:r>
    </w:p>
    <w:p w14:paraId="0085AD21" w14:textId="77777777" w:rsidR="00EF1BE8" w:rsidRPr="002C0C08" w:rsidRDefault="00342AB6" w:rsidP="00540549">
      <w:pPr>
        <w:pStyle w:val="ListParagraph"/>
        <w:numPr>
          <w:ilvl w:val="1"/>
          <w:numId w:val="1"/>
        </w:numPr>
        <w:tabs>
          <w:tab w:val="left" w:pos="1196"/>
        </w:tabs>
        <w:ind w:left="1195" w:right="883"/>
        <w:rPr>
          <w:sz w:val="20"/>
          <w:szCs w:val="20"/>
        </w:rPr>
      </w:pPr>
      <w:r w:rsidRPr="002C0C08">
        <w:rPr>
          <w:sz w:val="20"/>
          <w:szCs w:val="20"/>
        </w:rPr>
        <w:t>Community-based outreach to minoritized communities (e.g., programming for K-12 students, community organizations, religious institutions)</w:t>
      </w:r>
    </w:p>
    <w:p w14:paraId="234F79D2" w14:textId="77777777" w:rsidR="00EF1BE8" w:rsidRPr="002C0C08" w:rsidRDefault="00342AB6" w:rsidP="008E3E71">
      <w:pPr>
        <w:pStyle w:val="ListParagraph"/>
        <w:numPr>
          <w:ilvl w:val="1"/>
          <w:numId w:val="1"/>
        </w:numPr>
        <w:tabs>
          <w:tab w:val="left" w:pos="1196"/>
        </w:tabs>
        <w:ind w:left="1195" w:hanging="270"/>
        <w:rPr>
          <w:sz w:val="20"/>
          <w:szCs w:val="20"/>
        </w:rPr>
      </w:pPr>
      <w:r w:rsidRPr="002C0C08">
        <w:rPr>
          <w:sz w:val="20"/>
          <w:szCs w:val="20"/>
        </w:rPr>
        <w:t>Consulting work (paid or unpaid) related to DEI</w:t>
      </w:r>
    </w:p>
    <w:p w14:paraId="3B0134EC" w14:textId="77777777" w:rsidR="00EF1BE8" w:rsidRPr="002C0C08" w:rsidRDefault="00342AB6" w:rsidP="00540549">
      <w:pPr>
        <w:pStyle w:val="ListParagraph"/>
        <w:numPr>
          <w:ilvl w:val="1"/>
          <w:numId w:val="1"/>
        </w:numPr>
        <w:tabs>
          <w:tab w:val="left" w:pos="1196"/>
        </w:tabs>
        <w:ind w:left="1195" w:right="506"/>
        <w:rPr>
          <w:sz w:val="20"/>
          <w:szCs w:val="20"/>
        </w:rPr>
      </w:pPr>
      <w:r w:rsidRPr="002C0C08">
        <w:rPr>
          <w:sz w:val="20"/>
          <w:szCs w:val="20"/>
        </w:rPr>
        <w:t>Any efforts to increase the presence of underrepresented groups and communities in open platforms</w:t>
      </w:r>
    </w:p>
    <w:p w14:paraId="38581997" w14:textId="77777777" w:rsidR="00EF1BE8" w:rsidRPr="002C0C08" w:rsidRDefault="00342AB6" w:rsidP="008E3E71">
      <w:pPr>
        <w:pStyle w:val="ListParagraph"/>
        <w:numPr>
          <w:ilvl w:val="1"/>
          <w:numId w:val="1"/>
        </w:numPr>
        <w:tabs>
          <w:tab w:val="left" w:pos="1196"/>
        </w:tabs>
        <w:ind w:left="1195" w:hanging="270"/>
        <w:rPr>
          <w:sz w:val="20"/>
          <w:szCs w:val="20"/>
        </w:rPr>
      </w:pPr>
      <w:r w:rsidRPr="002C0C08">
        <w:rPr>
          <w:sz w:val="20"/>
          <w:szCs w:val="20"/>
        </w:rPr>
        <w:t>Service on department, school, and/or campus committee pertaining to DEI work</w:t>
      </w:r>
    </w:p>
    <w:p w14:paraId="26DA7B8A" w14:textId="77777777" w:rsidR="00AE4FE4" w:rsidRPr="002C0C08" w:rsidRDefault="00AE4FE4" w:rsidP="008E3E71">
      <w:pPr>
        <w:rPr>
          <w:sz w:val="20"/>
          <w:szCs w:val="20"/>
        </w:rPr>
        <w:sectPr w:rsidR="00AE4FE4" w:rsidRPr="002C0C08" w:rsidSect="00081F5F">
          <w:headerReference w:type="default" r:id="rId25"/>
          <w:pgSz w:w="12240" w:h="15840"/>
          <w:pgMar w:top="1320" w:right="1540" w:bottom="900" w:left="1460" w:header="0" w:footer="680" w:gutter="0"/>
          <w:cols w:space="720"/>
        </w:sectPr>
      </w:pPr>
    </w:p>
    <w:p w14:paraId="26C23420" w14:textId="77777777" w:rsidR="00EF1BE8" w:rsidRPr="002C0C08" w:rsidRDefault="00342AB6" w:rsidP="008E3E71">
      <w:pPr>
        <w:pStyle w:val="ListParagraph"/>
        <w:numPr>
          <w:ilvl w:val="1"/>
          <w:numId w:val="1"/>
        </w:numPr>
        <w:tabs>
          <w:tab w:val="left" w:pos="1200"/>
        </w:tabs>
        <w:ind w:left="1199" w:hanging="270"/>
        <w:rPr>
          <w:sz w:val="20"/>
          <w:szCs w:val="20"/>
        </w:rPr>
      </w:pPr>
      <w:r w:rsidRPr="002C0C08">
        <w:rPr>
          <w:sz w:val="20"/>
          <w:szCs w:val="20"/>
        </w:rPr>
        <w:lastRenderedPageBreak/>
        <w:t>Service work in professional societies pertaining to DEI work</w:t>
      </w:r>
    </w:p>
    <w:p w14:paraId="0356850C" w14:textId="77777777" w:rsidR="00EF1BE8" w:rsidRPr="002C0C08" w:rsidRDefault="00342AB6" w:rsidP="008E3E71">
      <w:pPr>
        <w:pStyle w:val="ListParagraph"/>
        <w:numPr>
          <w:ilvl w:val="1"/>
          <w:numId w:val="1"/>
        </w:numPr>
        <w:tabs>
          <w:tab w:val="left" w:pos="1200"/>
        </w:tabs>
        <w:ind w:left="1199" w:hanging="270"/>
        <w:rPr>
          <w:sz w:val="20"/>
          <w:szCs w:val="20"/>
        </w:rPr>
      </w:pPr>
      <w:r w:rsidRPr="002C0C08">
        <w:rPr>
          <w:sz w:val="20"/>
          <w:szCs w:val="20"/>
        </w:rPr>
        <w:t>Leading/delivering DEI professional development programming</w:t>
      </w:r>
    </w:p>
    <w:p w14:paraId="293AD389" w14:textId="77777777" w:rsidR="00EF1BE8" w:rsidRPr="002C0C08" w:rsidRDefault="00342AB6" w:rsidP="008E3E71">
      <w:pPr>
        <w:pStyle w:val="ListParagraph"/>
        <w:numPr>
          <w:ilvl w:val="1"/>
          <w:numId w:val="1"/>
        </w:numPr>
        <w:tabs>
          <w:tab w:val="left" w:pos="1199"/>
        </w:tabs>
        <w:rPr>
          <w:sz w:val="20"/>
          <w:szCs w:val="20"/>
        </w:rPr>
      </w:pPr>
      <w:r w:rsidRPr="002C0C08">
        <w:rPr>
          <w:sz w:val="20"/>
          <w:szCs w:val="20"/>
        </w:rPr>
        <w:t>Chairing the department/school/unit diversity committee</w:t>
      </w:r>
    </w:p>
    <w:p w14:paraId="50D1EEC2" w14:textId="77777777" w:rsidR="00EF1BE8" w:rsidRPr="002C0C08" w:rsidRDefault="00342AB6" w:rsidP="008E3E71">
      <w:pPr>
        <w:pStyle w:val="ListParagraph"/>
        <w:numPr>
          <w:ilvl w:val="1"/>
          <w:numId w:val="1"/>
        </w:numPr>
        <w:tabs>
          <w:tab w:val="left" w:pos="1199"/>
        </w:tabs>
        <w:ind w:right="1229"/>
        <w:rPr>
          <w:sz w:val="20"/>
          <w:szCs w:val="20"/>
        </w:rPr>
      </w:pPr>
      <w:r w:rsidRPr="002C0C08">
        <w:rPr>
          <w:sz w:val="20"/>
          <w:szCs w:val="20"/>
        </w:rPr>
        <w:t>National service to the discipline related to DEI (e.g., elected position in national organization)</w:t>
      </w:r>
    </w:p>
    <w:p w14:paraId="20C166F7" w14:textId="77777777" w:rsidR="00EF1BE8" w:rsidRPr="002C0C08" w:rsidRDefault="00342AB6" w:rsidP="00540549">
      <w:pPr>
        <w:pStyle w:val="ListParagraph"/>
        <w:numPr>
          <w:ilvl w:val="1"/>
          <w:numId w:val="1"/>
        </w:numPr>
        <w:tabs>
          <w:tab w:val="left" w:pos="1199"/>
        </w:tabs>
        <w:ind w:right="644"/>
        <w:rPr>
          <w:sz w:val="20"/>
          <w:szCs w:val="20"/>
        </w:rPr>
      </w:pPr>
      <w:r w:rsidRPr="002C0C08">
        <w:rPr>
          <w:sz w:val="20"/>
          <w:szCs w:val="20"/>
        </w:rPr>
        <w:t>DEI professional development (e.g., trainings, workshops, certification, reading groups) Policy work and impacts related to DEI</w:t>
      </w:r>
    </w:p>
    <w:p w14:paraId="3697C715" w14:textId="77777777" w:rsidR="00EF1BE8" w:rsidRPr="002C0C08" w:rsidRDefault="00342AB6" w:rsidP="00540549">
      <w:pPr>
        <w:pStyle w:val="ListParagraph"/>
        <w:numPr>
          <w:ilvl w:val="1"/>
          <w:numId w:val="1"/>
        </w:numPr>
        <w:tabs>
          <w:tab w:val="left" w:pos="1199"/>
        </w:tabs>
        <w:ind w:right="255"/>
        <w:rPr>
          <w:sz w:val="20"/>
          <w:szCs w:val="20"/>
        </w:rPr>
      </w:pPr>
      <w:r w:rsidRPr="002C0C08">
        <w:rPr>
          <w:sz w:val="20"/>
          <w:szCs w:val="20"/>
        </w:rPr>
        <w:t>Creating and/or leading programs related to DEI, on campus and/or beyond (e.g., efforts that create spaces/programs that facilitate greater sense of belonging and a welcoming environment for marginalized students, faculty and/or staff)</w:t>
      </w:r>
    </w:p>
    <w:p w14:paraId="77BD30B1" w14:textId="77777777" w:rsidR="00EF1BE8" w:rsidRPr="002C0C08" w:rsidRDefault="00342AB6" w:rsidP="00540549">
      <w:pPr>
        <w:pStyle w:val="ListParagraph"/>
        <w:numPr>
          <w:ilvl w:val="1"/>
          <w:numId w:val="1"/>
        </w:numPr>
        <w:tabs>
          <w:tab w:val="left" w:pos="1199"/>
        </w:tabs>
        <w:ind w:hanging="270"/>
        <w:rPr>
          <w:sz w:val="20"/>
          <w:szCs w:val="20"/>
        </w:rPr>
      </w:pPr>
      <w:r w:rsidRPr="002C0C08">
        <w:rPr>
          <w:sz w:val="20"/>
          <w:szCs w:val="20"/>
        </w:rPr>
        <w:t>Serving on search committees when diverse membership is requested</w:t>
      </w:r>
    </w:p>
    <w:p w14:paraId="3001DBC1" w14:textId="77777777" w:rsidR="00EF1BE8" w:rsidRPr="002C0C08" w:rsidRDefault="00342AB6" w:rsidP="00540549">
      <w:pPr>
        <w:pStyle w:val="ListParagraph"/>
        <w:numPr>
          <w:ilvl w:val="1"/>
          <w:numId w:val="1"/>
        </w:numPr>
        <w:tabs>
          <w:tab w:val="left" w:pos="1199"/>
        </w:tabs>
        <w:ind w:right="249"/>
        <w:rPr>
          <w:sz w:val="20"/>
          <w:szCs w:val="20"/>
        </w:rPr>
      </w:pPr>
      <w:r w:rsidRPr="002C0C08">
        <w:rPr>
          <w:sz w:val="20"/>
          <w:szCs w:val="20"/>
        </w:rPr>
        <w:t>Providing exposure to the research produced by underrepresented groups in open knowledge environments</w:t>
      </w:r>
    </w:p>
    <w:p w14:paraId="525852DB" w14:textId="77777777" w:rsidR="00EF1BE8" w:rsidRPr="002C0C08" w:rsidRDefault="00EF1BE8" w:rsidP="00540549">
      <w:pPr>
        <w:pStyle w:val="BodyText"/>
        <w:rPr>
          <w:sz w:val="20"/>
          <w:szCs w:val="20"/>
        </w:rPr>
      </w:pPr>
    </w:p>
    <w:p w14:paraId="216F69F0" w14:textId="77777777" w:rsidR="00EF1BE8" w:rsidRPr="002C0C08" w:rsidRDefault="00342AB6" w:rsidP="008E3E71">
      <w:pPr>
        <w:pStyle w:val="Heading3"/>
        <w:numPr>
          <w:ilvl w:val="0"/>
          <w:numId w:val="1"/>
        </w:numPr>
        <w:tabs>
          <w:tab w:val="left" w:pos="890"/>
          <w:tab w:val="left" w:pos="891"/>
        </w:tabs>
        <w:ind w:left="890"/>
        <w:rPr>
          <w:sz w:val="20"/>
          <w:szCs w:val="20"/>
        </w:rPr>
      </w:pPr>
      <w:r w:rsidRPr="002C0C08">
        <w:rPr>
          <w:sz w:val="20"/>
          <w:szCs w:val="20"/>
        </w:rPr>
        <w:t>Community Engagement</w:t>
      </w:r>
    </w:p>
    <w:p w14:paraId="4A3FCF83" w14:textId="77777777" w:rsidR="00EF1BE8" w:rsidRPr="002C0C08" w:rsidRDefault="00342AB6" w:rsidP="008E3E71">
      <w:pPr>
        <w:pStyle w:val="ListParagraph"/>
        <w:numPr>
          <w:ilvl w:val="1"/>
          <w:numId w:val="1"/>
        </w:numPr>
        <w:tabs>
          <w:tab w:val="left" w:pos="1198"/>
        </w:tabs>
        <w:rPr>
          <w:sz w:val="20"/>
          <w:szCs w:val="20"/>
        </w:rPr>
      </w:pPr>
      <w:r w:rsidRPr="002C0C08">
        <w:rPr>
          <w:sz w:val="20"/>
          <w:szCs w:val="20"/>
        </w:rPr>
        <w:t>Community engaged research</w:t>
      </w:r>
    </w:p>
    <w:p w14:paraId="0D08BEB1" w14:textId="77777777" w:rsidR="00EF1BE8" w:rsidRPr="002C0C08" w:rsidRDefault="00342AB6" w:rsidP="008E3E71">
      <w:pPr>
        <w:pStyle w:val="ListParagraph"/>
        <w:numPr>
          <w:ilvl w:val="1"/>
          <w:numId w:val="1"/>
        </w:numPr>
        <w:tabs>
          <w:tab w:val="left" w:pos="1198"/>
        </w:tabs>
        <w:ind w:left="1197" w:right="254"/>
        <w:rPr>
          <w:sz w:val="20"/>
          <w:szCs w:val="20"/>
        </w:rPr>
      </w:pPr>
      <w:r w:rsidRPr="002C0C08">
        <w:rPr>
          <w:sz w:val="20"/>
          <w:szCs w:val="20"/>
        </w:rPr>
        <w:t>Coaching and providing supports to community engaged researchers; engaging communities (e.g., building capacity)</w:t>
      </w:r>
    </w:p>
    <w:p w14:paraId="23884792" w14:textId="77777777" w:rsidR="00EF1BE8" w:rsidRPr="002C0C08" w:rsidRDefault="00342AB6" w:rsidP="008E3E71">
      <w:pPr>
        <w:pStyle w:val="ListParagraph"/>
        <w:numPr>
          <w:ilvl w:val="1"/>
          <w:numId w:val="1"/>
        </w:numPr>
        <w:tabs>
          <w:tab w:val="left" w:pos="1198"/>
        </w:tabs>
        <w:ind w:left="1197" w:hanging="270"/>
        <w:rPr>
          <w:sz w:val="20"/>
          <w:szCs w:val="20"/>
        </w:rPr>
      </w:pPr>
      <w:r w:rsidRPr="002C0C08">
        <w:rPr>
          <w:sz w:val="20"/>
          <w:szCs w:val="20"/>
        </w:rPr>
        <w:t>Policy work and impacts related to DEI</w:t>
      </w:r>
    </w:p>
    <w:p w14:paraId="3E2E7984" w14:textId="77777777" w:rsidR="00EF1BE8" w:rsidRPr="002C0C08" w:rsidRDefault="00342AB6" w:rsidP="008E3E71">
      <w:pPr>
        <w:pStyle w:val="ListParagraph"/>
        <w:numPr>
          <w:ilvl w:val="1"/>
          <w:numId w:val="1"/>
        </w:numPr>
        <w:tabs>
          <w:tab w:val="left" w:pos="1198"/>
        </w:tabs>
        <w:ind w:left="1197" w:hanging="270"/>
        <w:rPr>
          <w:sz w:val="20"/>
          <w:szCs w:val="20"/>
        </w:rPr>
      </w:pPr>
      <w:r w:rsidRPr="002C0C08">
        <w:rPr>
          <w:sz w:val="20"/>
          <w:szCs w:val="20"/>
        </w:rPr>
        <w:t>Scholarship creation and/or management</w:t>
      </w:r>
    </w:p>
    <w:p w14:paraId="17F88FC0" w14:textId="77777777" w:rsidR="00EF1BE8" w:rsidRPr="002C0C08" w:rsidRDefault="00342AB6" w:rsidP="008E3E71">
      <w:pPr>
        <w:pStyle w:val="ListParagraph"/>
        <w:numPr>
          <w:ilvl w:val="1"/>
          <w:numId w:val="1"/>
        </w:numPr>
        <w:tabs>
          <w:tab w:val="left" w:pos="1198"/>
        </w:tabs>
        <w:ind w:left="1197" w:hanging="270"/>
        <w:rPr>
          <w:sz w:val="20"/>
          <w:szCs w:val="20"/>
        </w:rPr>
      </w:pPr>
      <w:r w:rsidRPr="002C0C08">
        <w:rPr>
          <w:sz w:val="20"/>
          <w:szCs w:val="20"/>
        </w:rPr>
        <w:t>Active recruitment of diverse students</w:t>
      </w:r>
    </w:p>
    <w:p w14:paraId="35AF8793" w14:textId="77777777" w:rsidR="00EF1BE8" w:rsidRPr="002C0C08" w:rsidRDefault="00EF1BE8" w:rsidP="008E3E71">
      <w:pPr>
        <w:pStyle w:val="BodyText"/>
        <w:rPr>
          <w:sz w:val="20"/>
          <w:szCs w:val="20"/>
        </w:rPr>
      </w:pPr>
    </w:p>
    <w:p w14:paraId="29F0EF8A" w14:textId="77777777" w:rsidR="00EF1BE8" w:rsidRPr="002C0C08" w:rsidRDefault="00342AB6" w:rsidP="008E3E71">
      <w:pPr>
        <w:pStyle w:val="Heading3"/>
        <w:numPr>
          <w:ilvl w:val="0"/>
          <w:numId w:val="1"/>
        </w:numPr>
        <w:tabs>
          <w:tab w:val="left" w:pos="890"/>
          <w:tab w:val="left" w:pos="891"/>
        </w:tabs>
        <w:ind w:left="890" w:hanging="774"/>
        <w:rPr>
          <w:sz w:val="20"/>
          <w:szCs w:val="20"/>
        </w:rPr>
      </w:pPr>
      <w:r w:rsidRPr="002C0C08">
        <w:rPr>
          <w:sz w:val="20"/>
          <w:szCs w:val="20"/>
        </w:rPr>
        <w:t>Awards</w:t>
      </w:r>
    </w:p>
    <w:p w14:paraId="1B225282" w14:textId="77777777" w:rsidR="00EF1BE8" w:rsidRPr="002C0C08" w:rsidRDefault="00342AB6" w:rsidP="00540549">
      <w:pPr>
        <w:pStyle w:val="ListParagraph"/>
        <w:numPr>
          <w:ilvl w:val="1"/>
          <w:numId w:val="1"/>
        </w:numPr>
        <w:tabs>
          <w:tab w:val="left" w:pos="1198"/>
        </w:tabs>
        <w:ind w:left="1197" w:right="280"/>
        <w:rPr>
          <w:sz w:val="20"/>
          <w:szCs w:val="20"/>
        </w:rPr>
      </w:pPr>
      <w:r w:rsidRPr="002C0C08">
        <w:rPr>
          <w:sz w:val="20"/>
          <w:szCs w:val="20"/>
        </w:rPr>
        <w:t>National, international, local (campus), and/or community-based awards and/or recognitions for DEI work</w:t>
      </w:r>
    </w:p>
    <w:p w14:paraId="0EC402BF" w14:textId="6B1C2CB5" w:rsidR="007A3B74" w:rsidRPr="002C0C08" w:rsidRDefault="00342AB6" w:rsidP="00540549">
      <w:pPr>
        <w:pStyle w:val="ListParagraph"/>
        <w:numPr>
          <w:ilvl w:val="1"/>
          <w:numId w:val="1"/>
        </w:numPr>
        <w:tabs>
          <w:tab w:val="left" w:pos="1198"/>
        </w:tabs>
        <w:ind w:left="1197" w:hanging="270"/>
        <w:rPr>
          <w:sz w:val="20"/>
          <w:szCs w:val="20"/>
        </w:rPr>
      </w:pPr>
      <w:r w:rsidRPr="002C0C08">
        <w:rPr>
          <w:sz w:val="20"/>
          <w:szCs w:val="20"/>
        </w:rPr>
        <w:t>FACET membership based on DEI work</w:t>
      </w:r>
    </w:p>
    <w:p w14:paraId="56C04DE5" w14:textId="3651139B" w:rsidR="007A3B74" w:rsidRPr="002C0C08" w:rsidRDefault="007A3B74" w:rsidP="00D03D26">
      <w:pPr>
        <w:rPr>
          <w:b/>
          <w:bCs/>
          <w:sz w:val="20"/>
          <w:szCs w:val="20"/>
        </w:rPr>
      </w:pPr>
    </w:p>
    <w:sectPr w:rsidR="007A3B74" w:rsidRPr="002C0C08">
      <w:headerReference w:type="default" r:id="rId26"/>
      <w:pgSz w:w="12240" w:h="15840"/>
      <w:pgMar w:top="1320" w:right="1540" w:bottom="900" w:left="146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355D" w14:textId="77777777" w:rsidR="000346B5" w:rsidRDefault="000346B5">
      <w:r>
        <w:separator/>
      </w:r>
    </w:p>
  </w:endnote>
  <w:endnote w:type="continuationSeparator" w:id="0">
    <w:p w14:paraId="2AFEAD36" w14:textId="77777777" w:rsidR="000346B5" w:rsidRDefault="0003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7726457"/>
      <w:docPartObj>
        <w:docPartGallery w:val="Page Numbers (Bottom of Page)"/>
        <w:docPartUnique/>
      </w:docPartObj>
    </w:sdtPr>
    <w:sdtContent>
      <w:p w14:paraId="34118DDE" w14:textId="5D43876F" w:rsidR="00273B3C" w:rsidRDefault="00273B3C" w:rsidP="00B721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0C386E" w14:textId="77777777" w:rsidR="00273B3C" w:rsidRDefault="00273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0672817"/>
      <w:docPartObj>
        <w:docPartGallery w:val="Page Numbers (Bottom of Page)"/>
        <w:docPartUnique/>
      </w:docPartObj>
    </w:sdtPr>
    <w:sdtContent>
      <w:p w14:paraId="41E32C83" w14:textId="5F3D33F9" w:rsidR="00273B3C" w:rsidRDefault="00273B3C" w:rsidP="00B721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6474DC" w14:textId="286A195A" w:rsidR="00EF1BE8" w:rsidRDefault="00EF1BE8">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E0AA" w14:textId="77777777" w:rsidR="000346B5" w:rsidRDefault="000346B5">
      <w:r>
        <w:separator/>
      </w:r>
    </w:p>
  </w:footnote>
  <w:footnote w:type="continuationSeparator" w:id="0">
    <w:p w14:paraId="14EFD09A" w14:textId="77777777" w:rsidR="000346B5" w:rsidRDefault="0003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35D907CC" w14:textId="77777777" w:rsidTr="5AF23255">
      <w:trPr>
        <w:trHeight w:val="300"/>
      </w:trPr>
      <w:tc>
        <w:tcPr>
          <w:tcW w:w="3080" w:type="dxa"/>
        </w:tcPr>
        <w:p w14:paraId="3217B14B" w14:textId="61305D23" w:rsidR="5AF23255" w:rsidRDefault="5AF23255" w:rsidP="5AF23255">
          <w:pPr>
            <w:pStyle w:val="Header"/>
            <w:ind w:left="-115"/>
          </w:pPr>
        </w:p>
      </w:tc>
      <w:tc>
        <w:tcPr>
          <w:tcW w:w="3080" w:type="dxa"/>
        </w:tcPr>
        <w:p w14:paraId="1D83645E" w14:textId="03224F7A" w:rsidR="5AF23255" w:rsidRDefault="5AF23255" w:rsidP="5AF23255">
          <w:pPr>
            <w:pStyle w:val="Header"/>
            <w:jc w:val="center"/>
          </w:pPr>
        </w:p>
      </w:tc>
      <w:tc>
        <w:tcPr>
          <w:tcW w:w="3080" w:type="dxa"/>
        </w:tcPr>
        <w:p w14:paraId="2BF2B32C" w14:textId="132F7AFA" w:rsidR="5AF23255" w:rsidRDefault="5AF23255" w:rsidP="5AF23255">
          <w:pPr>
            <w:pStyle w:val="Header"/>
            <w:ind w:right="-115"/>
            <w:jc w:val="right"/>
          </w:pPr>
        </w:p>
      </w:tc>
    </w:tr>
  </w:tbl>
  <w:p w14:paraId="34604407" w14:textId="76DD1809" w:rsidR="5AF23255" w:rsidRDefault="5AF23255" w:rsidP="5AF23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7D81E68B" w14:textId="77777777" w:rsidTr="5AF23255">
      <w:trPr>
        <w:trHeight w:val="300"/>
      </w:trPr>
      <w:tc>
        <w:tcPr>
          <w:tcW w:w="3080" w:type="dxa"/>
        </w:tcPr>
        <w:p w14:paraId="3C8EFA34" w14:textId="79A49495" w:rsidR="5AF23255" w:rsidRDefault="5AF23255" w:rsidP="5AF23255">
          <w:pPr>
            <w:pStyle w:val="Header"/>
            <w:ind w:left="-115"/>
          </w:pPr>
        </w:p>
      </w:tc>
      <w:tc>
        <w:tcPr>
          <w:tcW w:w="3080" w:type="dxa"/>
        </w:tcPr>
        <w:p w14:paraId="3906FFB2" w14:textId="35DFC70C" w:rsidR="5AF23255" w:rsidRDefault="5AF23255" w:rsidP="5AF23255">
          <w:pPr>
            <w:pStyle w:val="Header"/>
            <w:jc w:val="center"/>
          </w:pPr>
        </w:p>
      </w:tc>
      <w:tc>
        <w:tcPr>
          <w:tcW w:w="3080" w:type="dxa"/>
        </w:tcPr>
        <w:p w14:paraId="78046E82" w14:textId="668DB643" w:rsidR="5AF23255" w:rsidRDefault="5AF23255" w:rsidP="5AF23255">
          <w:pPr>
            <w:pStyle w:val="Header"/>
            <w:ind w:right="-115"/>
            <w:jc w:val="right"/>
          </w:pPr>
        </w:p>
      </w:tc>
    </w:tr>
  </w:tbl>
  <w:p w14:paraId="27C7CD65" w14:textId="0109508B" w:rsidR="5AF23255" w:rsidRDefault="5AF23255" w:rsidP="5AF23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539700FE" w14:textId="77777777" w:rsidTr="5AF23255">
      <w:trPr>
        <w:trHeight w:val="300"/>
      </w:trPr>
      <w:tc>
        <w:tcPr>
          <w:tcW w:w="3080" w:type="dxa"/>
        </w:tcPr>
        <w:p w14:paraId="55DC0F62" w14:textId="0A483363" w:rsidR="5AF23255" w:rsidRDefault="5AF23255" w:rsidP="5AF23255">
          <w:pPr>
            <w:pStyle w:val="Header"/>
            <w:ind w:left="-115"/>
          </w:pPr>
        </w:p>
      </w:tc>
      <w:tc>
        <w:tcPr>
          <w:tcW w:w="3080" w:type="dxa"/>
        </w:tcPr>
        <w:p w14:paraId="372B91EA" w14:textId="6B9EF0B6" w:rsidR="5AF23255" w:rsidRDefault="5AF23255" w:rsidP="5AF23255">
          <w:pPr>
            <w:pStyle w:val="Header"/>
            <w:jc w:val="center"/>
          </w:pPr>
        </w:p>
      </w:tc>
      <w:tc>
        <w:tcPr>
          <w:tcW w:w="3080" w:type="dxa"/>
        </w:tcPr>
        <w:p w14:paraId="03A1E590" w14:textId="5307F685" w:rsidR="5AF23255" w:rsidRDefault="5AF23255" w:rsidP="5AF23255">
          <w:pPr>
            <w:pStyle w:val="Header"/>
            <w:ind w:right="-115"/>
            <w:jc w:val="right"/>
          </w:pPr>
        </w:p>
      </w:tc>
    </w:tr>
  </w:tbl>
  <w:p w14:paraId="0DC66B4B" w14:textId="208A63C6" w:rsidR="5AF23255" w:rsidRDefault="5AF23255" w:rsidP="5AF23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5EE5C2DF" w14:textId="77777777" w:rsidTr="5AF23255">
      <w:trPr>
        <w:trHeight w:val="300"/>
      </w:trPr>
      <w:tc>
        <w:tcPr>
          <w:tcW w:w="3080" w:type="dxa"/>
        </w:tcPr>
        <w:p w14:paraId="0D6164BF" w14:textId="3F1B016D" w:rsidR="5AF23255" w:rsidRDefault="5AF23255" w:rsidP="5AF23255">
          <w:pPr>
            <w:pStyle w:val="Header"/>
            <w:ind w:left="-115"/>
          </w:pPr>
        </w:p>
      </w:tc>
      <w:tc>
        <w:tcPr>
          <w:tcW w:w="3080" w:type="dxa"/>
        </w:tcPr>
        <w:p w14:paraId="21BA36FD" w14:textId="17DF9F7A" w:rsidR="5AF23255" w:rsidRDefault="5AF23255" w:rsidP="5AF23255">
          <w:pPr>
            <w:pStyle w:val="Header"/>
            <w:jc w:val="center"/>
          </w:pPr>
        </w:p>
      </w:tc>
      <w:tc>
        <w:tcPr>
          <w:tcW w:w="3080" w:type="dxa"/>
        </w:tcPr>
        <w:p w14:paraId="0C3CCF68" w14:textId="1891D696" w:rsidR="5AF23255" w:rsidRDefault="5AF23255" w:rsidP="5AF23255">
          <w:pPr>
            <w:pStyle w:val="Header"/>
            <w:ind w:right="-115"/>
            <w:jc w:val="right"/>
          </w:pPr>
        </w:p>
      </w:tc>
    </w:tr>
  </w:tbl>
  <w:p w14:paraId="07287169" w14:textId="59C2B39C" w:rsidR="5AF23255" w:rsidRDefault="5AF23255" w:rsidP="5AF23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705AD856" w14:textId="77777777" w:rsidTr="5AF23255">
      <w:trPr>
        <w:trHeight w:val="300"/>
      </w:trPr>
      <w:tc>
        <w:tcPr>
          <w:tcW w:w="3080" w:type="dxa"/>
        </w:tcPr>
        <w:p w14:paraId="04CC6EB8" w14:textId="5F7DE533" w:rsidR="5AF23255" w:rsidRDefault="5AF23255" w:rsidP="5AF23255">
          <w:pPr>
            <w:pStyle w:val="Header"/>
            <w:ind w:left="-115"/>
          </w:pPr>
        </w:p>
      </w:tc>
      <w:tc>
        <w:tcPr>
          <w:tcW w:w="3080" w:type="dxa"/>
        </w:tcPr>
        <w:p w14:paraId="06773A6A" w14:textId="0AE8F831" w:rsidR="5AF23255" w:rsidRDefault="5AF23255" w:rsidP="5AF23255">
          <w:pPr>
            <w:pStyle w:val="Header"/>
            <w:jc w:val="center"/>
          </w:pPr>
        </w:p>
      </w:tc>
      <w:tc>
        <w:tcPr>
          <w:tcW w:w="3080" w:type="dxa"/>
        </w:tcPr>
        <w:p w14:paraId="5EE352FB" w14:textId="410F237B" w:rsidR="5AF23255" w:rsidRDefault="5AF23255" w:rsidP="5AF23255">
          <w:pPr>
            <w:pStyle w:val="Header"/>
            <w:ind w:right="-115"/>
            <w:jc w:val="right"/>
          </w:pPr>
        </w:p>
      </w:tc>
    </w:tr>
  </w:tbl>
  <w:p w14:paraId="36CD0ED5" w14:textId="5FA12EA9" w:rsidR="5AF23255" w:rsidRDefault="5AF23255" w:rsidP="5AF232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1859FE30" w14:textId="77777777" w:rsidTr="5AF23255">
      <w:trPr>
        <w:trHeight w:val="300"/>
      </w:trPr>
      <w:tc>
        <w:tcPr>
          <w:tcW w:w="3080" w:type="dxa"/>
        </w:tcPr>
        <w:p w14:paraId="3AB39930" w14:textId="3EF512AF" w:rsidR="5AF23255" w:rsidRDefault="5AF23255" w:rsidP="5AF23255">
          <w:pPr>
            <w:pStyle w:val="Header"/>
            <w:ind w:left="-115"/>
          </w:pPr>
        </w:p>
      </w:tc>
      <w:tc>
        <w:tcPr>
          <w:tcW w:w="3080" w:type="dxa"/>
        </w:tcPr>
        <w:p w14:paraId="01CD9C13" w14:textId="08F7D82F" w:rsidR="5AF23255" w:rsidRDefault="5AF23255" w:rsidP="5AF23255">
          <w:pPr>
            <w:pStyle w:val="Header"/>
            <w:jc w:val="center"/>
          </w:pPr>
        </w:p>
      </w:tc>
      <w:tc>
        <w:tcPr>
          <w:tcW w:w="3080" w:type="dxa"/>
        </w:tcPr>
        <w:p w14:paraId="16B77635" w14:textId="39F93678" w:rsidR="5AF23255" w:rsidRDefault="5AF23255" w:rsidP="5AF23255">
          <w:pPr>
            <w:pStyle w:val="Header"/>
            <w:ind w:right="-115"/>
            <w:jc w:val="right"/>
          </w:pPr>
        </w:p>
      </w:tc>
    </w:tr>
  </w:tbl>
  <w:p w14:paraId="793D62EB" w14:textId="5E316DF7" w:rsidR="5AF23255" w:rsidRDefault="5AF23255" w:rsidP="5AF232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7892F57A" w14:textId="77777777" w:rsidTr="5AF23255">
      <w:trPr>
        <w:trHeight w:val="300"/>
      </w:trPr>
      <w:tc>
        <w:tcPr>
          <w:tcW w:w="3080" w:type="dxa"/>
        </w:tcPr>
        <w:p w14:paraId="5226D976" w14:textId="36CB2A6D" w:rsidR="5AF23255" w:rsidRDefault="5AF23255" w:rsidP="5AF23255">
          <w:pPr>
            <w:pStyle w:val="Header"/>
            <w:ind w:left="-115"/>
          </w:pPr>
        </w:p>
      </w:tc>
      <w:tc>
        <w:tcPr>
          <w:tcW w:w="3080" w:type="dxa"/>
        </w:tcPr>
        <w:p w14:paraId="19521C4E" w14:textId="254A8B57" w:rsidR="5AF23255" w:rsidRDefault="5AF23255" w:rsidP="5AF23255">
          <w:pPr>
            <w:pStyle w:val="Header"/>
            <w:jc w:val="center"/>
          </w:pPr>
        </w:p>
      </w:tc>
      <w:tc>
        <w:tcPr>
          <w:tcW w:w="3080" w:type="dxa"/>
        </w:tcPr>
        <w:p w14:paraId="13D53322" w14:textId="1853EA6C" w:rsidR="5AF23255" w:rsidRDefault="5AF23255" w:rsidP="5AF23255">
          <w:pPr>
            <w:pStyle w:val="Header"/>
            <w:ind w:right="-115"/>
            <w:jc w:val="right"/>
          </w:pPr>
        </w:p>
      </w:tc>
    </w:tr>
  </w:tbl>
  <w:p w14:paraId="292A7F88" w14:textId="24DBDB46" w:rsidR="5AF23255" w:rsidRDefault="5AF23255" w:rsidP="5AF232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5AF23255" w14:paraId="2C5F42E7" w14:textId="77777777" w:rsidTr="5AF23255">
      <w:trPr>
        <w:trHeight w:val="300"/>
      </w:trPr>
      <w:tc>
        <w:tcPr>
          <w:tcW w:w="3080" w:type="dxa"/>
        </w:tcPr>
        <w:p w14:paraId="7E03D2CA" w14:textId="45B14745" w:rsidR="5AF23255" w:rsidRDefault="5AF23255" w:rsidP="5AF23255">
          <w:pPr>
            <w:pStyle w:val="Header"/>
            <w:ind w:left="-115"/>
          </w:pPr>
        </w:p>
      </w:tc>
      <w:tc>
        <w:tcPr>
          <w:tcW w:w="3080" w:type="dxa"/>
        </w:tcPr>
        <w:p w14:paraId="31B1B09A" w14:textId="474C958F" w:rsidR="5AF23255" w:rsidRDefault="5AF23255" w:rsidP="5AF23255">
          <w:pPr>
            <w:pStyle w:val="Header"/>
            <w:jc w:val="center"/>
          </w:pPr>
        </w:p>
      </w:tc>
      <w:tc>
        <w:tcPr>
          <w:tcW w:w="3080" w:type="dxa"/>
        </w:tcPr>
        <w:p w14:paraId="67361E35" w14:textId="1A2D7C4F" w:rsidR="5AF23255" w:rsidRDefault="5AF23255" w:rsidP="5AF23255">
          <w:pPr>
            <w:pStyle w:val="Header"/>
            <w:ind w:right="-115"/>
            <w:jc w:val="right"/>
          </w:pPr>
        </w:p>
      </w:tc>
    </w:tr>
  </w:tbl>
  <w:p w14:paraId="70AE3466" w14:textId="436FE5E8" w:rsidR="5AF23255" w:rsidRDefault="5AF23255" w:rsidP="5AF23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63E"/>
    <w:multiLevelType w:val="multilevel"/>
    <w:tmpl w:val="ABC4F2F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5D69EA"/>
    <w:multiLevelType w:val="multilevel"/>
    <w:tmpl w:val="1F2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C4B50"/>
    <w:multiLevelType w:val="hybridMultilevel"/>
    <w:tmpl w:val="046E5744"/>
    <w:lvl w:ilvl="0" w:tplc="61986B60">
      <w:start w:val="1"/>
      <w:numFmt w:val="lowerLetter"/>
      <w:lvlText w:val="%1)"/>
      <w:lvlJc w:val="left"/>
      <w:pPr>
        <w:ind w:left="1328" w:hanging="360"/>
      </w:pPr>
      <w:rPr>
        <w:rFonts w:hint="default"/>
        <w:spacing w:val="-1"/>
        <w:w w:val="100"/>
        <w:lang w:val="en-US" w:eastAsia="en-US" w:bidi="ar-SA"/>
      </w:rPr>
    </w:lvl>
    <w:lvl w:ilvl="1" w:tplc="DB5C130E">
      <w:numFmt w:val="bullet"/>
      <w:lvlText w:val="•"/>
      <w:lvlJc w:val="left"/>
      <w:pPr>
        <w:ind w:left="2112" w:hanging="360"/>
      </w:pPr>
      <w:rPr>
        <w:rFonts w:hint="default"/>
        <w:lang w:val="en-US" w:eastAsia="en-US" w:bidi="ar-SA"/>
      </w:rPr>
    </w:lvl>
    <w:lvl w:ilvl="2" w:tplc="48FC70BE">
      <w:numFmt w:val="bullet"/>
      <w:lvlText w:val="•"/>
      <w:lvlJc w:val="left"/>
      <w:pPr>
        <w:ind w:left="2904" w:hanging="360"/>
      </w:pPr>
      <w:rPr>
        <w:rFonts w:hint="default"/>
        <w:lang w:val="en-US" w:eastAsia="en-US" w:bidi="ar-SA"/>
      </w:rPr>
    </w:lvl>
    <w:lvl w:ilvl="3" w:tplc="8C4CAEDE">
      <w:numFmt w:val="bullet"/>
      <w:lvlText w:val="•"/>
      <w:lvlJc w:val="left"/>
      <w:pPr>
        <w:ind w:left="3696" w:hanging="360"/>
      </w:pPr>
      <w:rPr>
        <w:rFonts w:hint="default"/>
        <w:lang w:val="en-US" w:eastAsia="en-US" w:bidi="ar-SA"/>
      </w:rPr>
    </w:lvl>
    <w:lvl w:ilvl="4" w:tplc="F3A6D83C">
      <w:numFmt w:val="bullet"/>
      <w:lvlText w:val="•"/>
      <w:lvlJc w:val="left"/>
      <w:pPr>
        <w:ind w:left="4488" w:hanging="360"/>
      </w:pPr>
      <w:rPr>
        <w:rFonts w:hint="default"/>
        <w:lang w:val="en-US" w:eastAsia="en-US" w:bidi="ar-SA"/>
      </w:rPr>
    </w:lvl>
    <w:lvl w:ilvl="5" w:tplc="0444E67A">
      <w:numFmt w:val="bullet"/>
      <w:lvlText w:val="•"/>
      <w:lvlJc w:val="left"/>
      <w:pPr>
        <w:ind w:left="5280" w:hanging="360"/>
      </w:pPr>
      <w:rPr>
        <w:rFonts w:hint="default"/>
        <w:lang w:val="en-US" w:eastAsia="en-US" w:bidi="ar-SA"/>
      </w:rPr>
    </w:lvl>
    <w:lvl w:ilvl="6" w:tplc="6226D240">
      <w:numFmt w:val="bullet"/>
      <w:lvlText w:val="•"/>
      <w:lvlJc w:val="left"/>
      <w:pPr>
        <w:ind w:left="6072" w:hanging="360"/>
      </w:pPr>
      <w:rPr>
        <w:rFonts w:hint="default"/>
        <w:lang w:val="en-US" w:eastAsia="en-US" w:bidi="ar-SA"/>
      </w:rPr>
    </w:lvl>
    <w:lvl w:ilvl="7" w:tplc="716A5B62">
      <w:numFmt w:val="bullet"/>
      <w:lvlText w:val="•"/>
      <w:lvlJc w:val="left"/>
      <w:pPr>
        <w:ind w:left="6864" w:hanging="360"/>
      </w:pPr>
      <w:rPr>
        <w:rFonts w:hint="default"/>
        <w:lang w:val="en-US" w:eastAsia="en-US" w:bidi="ar-SA"/>
      </w:rPr>
    </w:lvl>
    <w:lvl w:ilvl="8" w:tplc="41BC40EE">
      <w:numFmt w:val="bullet"/>
      <w:lvlText w:val="•"/>
      <w:lvlJc w:val="left"/>
      <w:pPr>
        <w:ind w:left="7656" w:hanging="360"/>
      </w:pPr>
      <w:rPr>
        <w:rFonts w:hint="default"/>
        <w:lang w:val="en-US" w:eastAsia="en-US" w:bidi="ar-SA"/>
      </w:rPr>
    </w:lvl>
  </w:abstractNum>
  <w:abstractNum w:abstractNumId="3" w15:restartNumberingAfterBreak="0">
    <w:nsid w:val="07143CE3"/>
    <w:multiLevelType w:val="hybridMultilevel"/>
    <w:tmpl w:val="3CA60C4E"/>
    <w:lvl w:ilvl="0" w:tplc="743ED300">
      <w:start w:val="1"/>
      <w:numFmt w:val="upperLetter"/>
      <w:lvlText w:val="%1."/>
      <w:lvlJc w:val="left"/>
      <w:pPr>
        <w:ind w:left="810" w:hanging="720"/>
      </w:pPr>
      <w:rPr>
        <w:rFonts w:hint="default"/>
        <w:spacing w:val="-1"/>
        <w:w w:val="100"/>
        <w:lang w:val="en-US" w:eastAsia="en-US" w:bidi="ar-SA"/>
      </w:rPr>
    </w:lvl>
    <w:lvl w:ilvl="1" w:tplc="3172452E">
      <w:start w:val="1"/>
      <w:numFmt w:val="decimal"/>
      <w:lvlText w:val="%2."/>
      <w:lvlJc w:val="left"/>
      <w:pPr>
        <w:ind w:left="1018" w:hanging="411"/>
      </w:pPr>
      <w:rPr>
        <w:rFonts w:hint="default"/>
        <w:w w:val="100"/>
        <w:lang w:val="en-US" w:eastAsia="en-US" w:bidi="ar-SA"/>
      </w:rPr>
    </w:lvl>
    <w:lvl w:ilvl="2" w:tplc="8CAC28A8">
      <w:start w:val="1"/>
      <w:numFmt w:val="lowerLetter"/>
      <w:lvlText w:val="%3."/>
      <w:lvlJc w:val="left"/>
      <w:pPr>
        <w:ind w:left="2841" w:hanging="411"/>
      </w:pPr>
      <w:rPr>
        <w:rFonts w:hint="default"/>
        <w:spacing w:val="-1"/>
        <w:w w:val="100"/>
        <w:lang w:val="en-US" w:eastAsia="en-US" w:bidi="ar-SA"/>
      </w:rPr>
    </w:lvl>
    <w:lvl w:ilvl="3" w:tplc="F84C2226">
      <w:numFmt w:val="bullet"/>
      <w:lvlText w:val="•"/>
      <w:lvlJc w:val="left"/>
      <w:pPr>
        <w:ind w:left="1738" w:hanging="411"/>
      </w:pPr>
      <w:rPr>
        <w:rFonts w:ascii="Times New Roman" w:eastAsia="Times New Roman" w:hAnsi="Times New Roman" w:cs="Times New Roman" w:hint="default"/>
        <w:b w:val="0"/>
        <w:bCs w:val="0"/>
        <w:i w:val="0"/>
        <w:iCs w:val="0"/>
        <w:w w:val="100"/>
        <w:sz w:val="21"/>
        <w:szCs w:val="21"/>
        <w:lang w:val="en-US" w:eastAsia="en-US" w:bidi="ar-SA"/>
      </w:rPr>
    </w:lvl>
    <w:lvl w:ilvl="4" w:tplc="7DD86652">
      <w:numFmt w:val="bullet"/>
      <w:lvlText w:val="•"/>
      <w:lvlJc w:val="left"/>
      <w:pPr>
        <w:ind w:left="1240" w:hanging="411"/>
      </w:pPr>
      <w:rPr>
        <w:rFonts w:hint="default"/>
        <w:lang w:val="en-US" w:eastAsia="en-US" w:bidi="ar-SA"/>
      </w:rPr>
    </w:lvl>
    <w:lvl w:ilvl="5" w:tplc="D47E68EC">
      <w:numFmt w:val="bullet"/>
      <w:lvlText w:val="•"/>
      <w:lvlJc w:val="left"/>
      <w:pPr>
        <w:ind w:left="1300" w:hanging="411"/>
      </w:pPr>
      <w:rPr>
        <w:rFonts w:hint="default"/>
        <w:lang w:val="en-US" w:eastAsia="en-US" w:bidi="ar-SA"/>
      </w:rPr>
    </w:lvl>
    <w:lvl w:ilvl="6" w:tplc="C052B002">
      <w:numFmt w:val="bullet"/>
      <w:lvlText w:val="•"/>
      <w:lvlJc w:val="left"/>
      <w:pPr>
        <w:ind w:left="1320" w:hanging="411"/>
      </w:pPr>
      <w:rPr>
        <w:rFonts w:hint="default"/>
        <w:lang w:val="en-US" w:eastAsia="en-US" w:bidi="ar-SA"/>
      </w:rPr>
    </w:lvl>
    <w:lvl w:ilvl="7" w:tplc="D98A12E0">
      <w:numFmt w:val="bullet"/>
      <w:lvlText w:val="•"/>
      <w:lvlJc w:val="left"/>
      <w:pPr>
        <w:ind w:left="1680" w:hanging="411"/>
      </w:pPr>
      <w:rPr>
        <w:rFonts w:hint="default"/>
        <w:lang w:val="en-US" w:eastAsia="en-US" w:bidi="ar-SA"/>
      </w:rPr>
    </w:lvl>
    <w:lvl w:ilvl="8" w:tplc="8618B51E">
      <w:numFmt w:val="bullet"/>
      <w:lvlText w:val="•"/>
      <w:lvlJc w:val="left"/>
      <w:pPr>
        <w:ind w:left="1740" w:hanging="411"/>
      </w:pPr>
      <w:rPr>
        <w:rFonts w:hint="default"/>
        <w:lang w:val="en-US" w:eastAsia="en-US" w:bidi="ar-SA"/>
      </w:rPr>
    </w:lvl>
  </w:abstractNum>
  <w:abstractNum w:abstractNumId="4" w15:restartNumberingAfterBreak="0">
    <w:nsid w:val="0C8F6C86"/>
    <w:multiLevelType w:val="multilevel"/>
    <w:tmpl w:val="539A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02F81"/>
    <w:multiLevelType w:val="hybridMultilevel"/>
    <w:tmpl w:val="47E0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850B8"/>
    <w:multiLevelType w:val="multilevel"/>
    <w:tmpl w:val="F02670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593D17"/>
    <w:multiLevelType w:val="multilevel"/>
    <w:tmpl w:val="93AE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33307"/>
    <w:multiLevelType w:val="hybridMultilevel"/>
    <w:tmpl w:val="ADB215C0"/>
    <w:lvl w:ilvl="0" w:tplc="B64E6656">
      <w:start w:val="1"/>
      <w:numFmt w:val="lowerLetter"/>
      <w:lvlText w:val="%1."/>
      <w:lvlJc w:val="left"/>
      <w:pPr>
        <w:ind w:left="1328" w:hanging="361"/>
      </w:pPr>
      <w:rPr>
        <w:rFonts w:ascii="Times New Roman" w:eastAsia="Times New Roman" w:hAnsi="Times New Roman" w:cs="Times New Roman" w:hint="default"/>
        <w:b w:val="0"/>
        <w:bCs w:val="0"/>
        <w:i w:val="0"/>
        <w:iCs w:val="0"/>
        <w:spacing w:val="-1"/>
        <w:w w:val="100"/>
        <w:sz w:val="21"/>
        <w:szCs w:val="21"/>
        <w:lang w:val="en-US" w:eastAsia="en-US" w:bidi="ar-SA"/>
      </w:rPr>
    </w:lvl>
    <w:lvl w:ilvl="1" w:tplc="73829B04">
      <w:numFmt w:val="bullet"/>
      <w:lvlText w:val="•"/>
      <w:lvlJc w:val="left"/>
      <w:pPr>
        <w:ind w:left="2112" w:hanging="361"/>
      </w:pPr>
      <w:rPr>
        <w:rFonts w:hint="default"/>
        <w:lang w:val="en-US" w:eastAsia="en-US" w:bidi="ar-SA"/>
      </w:rPr>
    </w:lvl>
    <w:lvl w:ilvl="2" w:tplc="567E8A72">
      <w:numFmt w:val="bullet"/>
      <w:lvlText w:val="•"/>
      <w:lvlJc w:val="left"/>
      <w:pPr>
        <w:ind w:left="2904" w:hanging="361"/>
      </w:pPr>
      <w:rPr>
        <w:rFonts w:hint="default"/>
        <w:lang w:val="en-US" w:eastAsia="en-US" w:bidi="ar-SA"/>
      </w:rPr>
    </w:lvl>
    <w:lvl w:ilvl="3" w:tplc="A19664C0">
      <w:numFmt w:val="bullet"/>
      <w:lvlText w:val="•"/>
      <w:lvlJc w:val="left"/>
      <w:pPr>
        <w:ind w:left="3696" w:hanging="361"/>
      </w:pPr>
      <w:rPr>
        <w:rFonts w:hint="default"/>
        <w:lang w:val="en-US" w:eastAsia="en-US" w:bidi="ar-SA"/>
      </w:rPr>
    </w:lvl>
    <w:lvl w:ilvl="4" w:tplc="887C849C">
      <w:numFmt w:val="bullet"/>
      <w:lvlText w:val="•"/>
      <w:lvlJc w:val="left"/>
      <w:pPr>
        <w:ind w:left="4488" w:hanging="361"/>
      </w:pPr>
      <w:rPr>
        <w:rFonts w:hint="default"/>
        <w:lang w:val="en-US" w:eastAsia="en-US" w:bidi="ar-SA"/>
      </w:rPr>
    </w:lvl>
    <w:lvl w:ilvl="5" w:tplc="D0FCDC82">
      <w:numFmt w:val="bullet"/>
      <w:lvlText w:val="•"/>
      <w:lvlJc w:val="left"/>
      <w:pPr>
        <w:ind w:left="5280" w:hanging="361"/>
      </w:pPr>
      <w:rPr>
        <w:rFonts w:hint="default"/>
        <w:lang w:val="en-US" w:eastAsia="en-US" w:bidi="ar-SA"/>
      </w:rPr>
    </w:lvl>
    <w:lvl w:ilvl="6" w:tplc="2B8E3068">
      <w:numFmt w:val="bullet"/>
      <w:lvlText w:val="•"/>
      <w:lvlJc w:val="left"/>
      <w:pPr>
        <w:ind w:left="6072" w:hanging="361"/>
      </w:pPr>
      <w:rPr>
        <w:rFonts w:hint="default"/>
        <w:lang w:val="en-US" w:eastAsia="en-US" w:bidi="ar-SA"/>
      </w:rPr>
    </w:lvl>
    <w:lvl w:ilvl="7" w:tplc="7936A80E">
      <w:numFmt w:val="bullet"/>
      <w:lvlText w:val="•"/>
      <w:lvlJc w:val="left"/>
      <w:pPr>
        <w:ind w:left="6864" w:hanging="361"/>
      </w:pPr>
      <w:rPr>
        <w:rFonts w:hint="default"/>
        <w:lang w:val="en-US" w:eastAsia="en-US" w:bidi="ar-SA"/>
      </w:rPr>
    </w:lvl>
    <w:lvl w:ilvl="8" w:tplc="C232A6BC">
      <w:numFmt w:val="bullet"/>
      <w:lvlText w:val="•"/>
      <w:lvlJc w:val="left"/>
      <w:pPr>
        <w:ind w:left="7656" w:hanging="361"/>
      </w:pPr>
      <w:rPr>
        <w:rFonts w:hint="default"/>
        <w:lang w:val="en-US" w:eastAsia="en-US" w:bidi="ar-SA"/>
      </w:rPr>
    </w:lvl>
  </w:abstractNum>
  <w:abstractNum w:abstractNumId="9" w15:restartNumberingAfterBreak="0">
    <w:nsid w:val="13387C42"/>
    <w:multiLevelType w:val="multilevel"/>
    <w:tmpl w:val="631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F3F36"/>
    <w:multiLevelType w:val="multilevel"/>
    <w:tmpl w:val="5EBE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504A55"/>
    <w:multiLevelType w:val="multilevel"/>
    <w:tmpl w:val="D45AF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0F65A4"/>
    <w:multiLevelType w:val="multilevel"/>
    <w:tmpl w:val="014C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6E104E"/>
    <w:multiLevelType w:val="multilevel"/>
    <w:tmpl w:val="6AF8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5F3B7B"/>
    <w:multiLevelType w:val="multilevel"/>
    <w:tmpl w:val="358A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27DAF"/>
    <w:multiLevelType w:val="multilevel"/>
    <w:tmpl w:val="124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EE57EA"/>
    <w:multiLevelType w:val="multilevel"/>
    <w:tmpl w:val="9F7CF33A"/>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45197"/>
    <w:multiLevelType w:val="multilevel"/>
    <w:tmpl w:val="C8F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FE4D6A"/>
    <w:multiLevelType w:val="multilevel"/>
    <w:tmpl w:val="596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672BA7"/>
    <w:multiLevelType w:val="hybridMultilevel"/>
    <w:tmpl w:val="CADE5DEA"/>
    <w:lvl w:ilvl="0" w:tplc="62C0BC12">
      <w:numFmt w:val="bullet"/>
      <w:lvlText w:val="o"/>
      <w:lvlJc w:val="left"/>
      <w:pPr>
        <w:ind w:left="1703" w:hanging="361"/>
      </w:pPr>
      <w:rPr>
        <w:rFonts w:ascii="Courier New" w:eastAsia="Courier New" w:hAnsi="Courier New" w:cs="Courier New" w:hint="default"/>
        <w:b w:val="0"/>
        <w:bCs w:val="0"/>
        <w:i w:val="0"/>
        <w:iCs w:val="0"/>
        <w:w w:val="102"/>
        <w:sz w:val="21"/>
        <w:szCs w:val="21"/>
        <w:lang w:val="en-US" w:eastAsia="en-US" w:bidi="ar-SA"/>
      </w:rPr>
    </w:lvl>
    <w:lvl w:ilvl="1" w:tplc="7B92054A">
      <w:numFmt w:val="bullet"/>
      <w:lvlText w:val="•"/>
      <w:lvlJc w:val="left"/>
      <w:pPr>
        <w:ind w:left="2454" w:hanging="361"/>
      </w:pPr>
      <w:rPr>
        <w:rFonts w:hint="default"/>
        <w:lang w:val="en-US" w:eastAsia="en-US" w:bidi="ar-SA"/>
      </w:rPr>
    </w:lvl>
    <w:lvl w:ilvl="2" w:tplc="3B326548">
      <w:numFmt w:val="bullet"/>
      <w:lvlText w:val="•"/>
      <w:lvlJc w:val="left"/>
      <w:pPr>
        <w:ind w:left="3208" w:hanging="361"/>
      </w:pPr>
      <w:rPr>
        <w:rFonts w:hint="default"/>
        <w:lang w:val="en-US" w:eastAsia="en-US" w:bidi="ar-SA"/>
      </w:rPr>
    </w:lvl>
    <w:lvl w:ilvl="3" w:tplc="F4DC3D28">
      <w:numFmt w:val="bullet"/>
      <w:lvlText w:val="•"/>
      <w:lvlJc w:val="left"/>
      <w:pPr>
        <w:ind w:left="3962" w:hanging="361"/>
      </w:pPr>
      <w:rPr>
        <w:rFonts w:hint="default"/>
        <w:lang w:val="en-US" w:eastAsia="en-US" w:bidi="ar-SA"/>
      </w:rPr>
    </w:lvl>
    <w:lvl w:ilvl="4" w:tplc="9A427970">
      <w:numFmt w:val="bullet"/>
      <w:lvlText w:val="•"/>
      <w:lvlJc w:val="left"/>
      <w:pPr>
        <w:ind w:left="4716" w:hanging="361"/>
      </w:pPr>
      <w:rPr>
        <w:rFonts w:hint="default"/>
        <w:lang w:val="en-US" w:eastAsia="en-US" w:bidi="ar-SA"/>
      </w:rPr>
    </w:lvl>
    <w:lvl w:ilvl="5" w:tplc="27E27F24">
      <w:numFmt w:val="bullet"/>
      <w:lvlText w:val="•"/>
      <w:lvlJc w:val="left"/>
      <w:pPr>
        <w:ind w:left="5470" w:hanging="361"/>
      </w:pPr>
      <w:rPr>
        <w:rFonts w:hint="default"/>
        <w:lang w:val="en-US" w:eastAsia="en-US" w:bidi="ar-SA"/>
      </w:rPr>
    </w:lvl>
    <w:lvl w:ilvl="6" w:tplc="1D22021E">
      <w:numFmt w:val="bullet"/>
      <w:lvlText w:val="•"/>
      <w:lvlJc w:val="left"/>
      <w:pPr>
        <w:ind w:left="6224" w:hanging="361"/>
      </w:pPr>
      <w:rPr>
        <w:rFonts w:hint="default"/>
        <w:lang w:val="en-US" w:eastAsia="en-US" w:bidi="ar-SA"/>
      </w:rPr>
    </w:lvl>
    <w:lvl w:ilvl="7" w:tplc="A1525898">
      <w:numFmt w:val="bullet"/>
      <w:lvlText w:val="•"/>
      <w:lvlJc w:val="left"/>
      <w:pPr>
        <w:ind w:left="6978" w:hanging="361"/>
      </w:pPr>
      <w:rPr>
        <w:rFonts w:hint="default"/>
        <w:lang w:val="en-US" w:eastAsia="en-US" w:bidi="ar-SA"/>
      </w:rPr>
    </w:lvl>
    <w:lvl w:ilvl="8" w:tplc="3B72DEBA">
      <w:numFmt w:val="bullet"/>
      <w:lvlText w:val="•"/>
      <w:lvlJc w:val="left"/>
      <w:pPr>
        <w:ind w:left="7732" w:hanging="361"/>
      </w:pPr>
      <w:rPr>
        <w:rFonts w:hint="default"/>
        <w:lang w:val="en-US" w:eastAsia="en-US" w:bidi="ar-SA"/>
      </w:rPr>
    </w:lvl>
  </w:abstractNum>
  <w:abstractNum w:abstractNumId="20" w15:restartNumberingAfterBreak="0">
    <w:nsid w:val="25851267"/>
    <w:multiLevelType w:val="multilevel"/>
    <w:tmpl w:val="4372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C8641B"/>
    <w:multiLevelType w:val="multilevel"/>
    <w:tmpl w:val="6B6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DE15E3"/>
    <w:multiLevelType w:val="multilevel"/>
    <w:tmpl w:val="B66E1C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96300E2"/>
    <w:multiLevelType w:val="multilevel"/>
    <w:tmpl w:val="1EB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6201FC"/>
    <w:multiLevelType w:val="multilevel"/>
    <w:tmpl w:val="BFF6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0A3CA5"/>
    <w:multiLevelType w:val="multilevel"/>
    <w:tmpl w:val="837E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F13427"/>
    <w:multiLevelType w:val="hybridMultilevel"/>
    <w:tmpl w:val="EA26469C"/>
    <w:lvl w:ilvl="0" w:tplc="2AC4FB90">
      <w:start w:val="1"/>
      <w:numFmt w:val="decimal"/>
      <w:lvlText w:val="%1."/>
      <w:lvlJc w:val="left"/>
      <w:pPr>
        <w:ind w:left="891" w:hanging="773"/>
      </w:pPr>
      <w:rPr>
        <w:rFonts w:ascii="Times New Roman" w:eastAsia="Times New Roman" w:hAnsi="Times New Roman" w:cs="Times New Roman" w:hint="default"/>
        <w:b w:val="0"/>
        <w:bCs w:val="0"/>
        <w:i w:val="0"/>
        <w:iCs w:val="0"/>
        <w:w w:val="100"/>
        <w:sz w:val="21"/>
        <w:szCs w:val="21"/>
        <w:lang w:val="en-US" w:eastAsia="en-US" w:bidi="ar-SA"/>
      </w:rPr>
    </w:lvl>
    <w:lvl w:ilvl="1" w:tplc="821C076C">
      <w:numFmt w:val="bullet"/>
      <w:lvlText w:val="•"/>
      <w:lvlJc w:val="left"/>
      <w:pPr>
        <w:ind w:left="1198" w:hanging="269"/>
      </w:pPr>
      <w:rPr>
        <w:rFonts w:ascii="Times New Roman" w:eastAsia="Times New Roman" w:hAnsi="Times New Roman" w:cs="Times New Roman" w:hint="default"/>
        <w:b w:val="0"/>
        <w:bCs w:val="0"/>
        <w:i w:val="0"/>
        <w:iCs w:val="0"/>
        <w:w w:val="100"/>
        <w:sz w:val="21"/>
        <w:szCs w:val="21"/>
        <w:lang w:val="en-US" w:eastAsia="en-US" w:bidi="ar-SA"/>
      </w:rPr>
    </w:lvl>
    <w:lvl w:ilvl="2" w:tplc="315E3AE4">
      <w:numFmt w:val="bullet"/>
      <w:lvlText w:val="•"/>
      <w:lvlJc w:val="left"/>
      <w:pPr>
        <w:ind w:left="2093" w:hanging="269"/>
      </w:pPr>
      <w:rPr>
        <w:rFonts w:hint="default"/>
        <w:lang w:val="en-US" w:eastAsia="en-US" w:bidi="ar-SA"/>
      </w:rPr>
    </w:lvl>
    <w:lvl w:ilvl="3" w:tplc="C32CFEFC">
      <w:numFmt w:val="bullet"/>
      <w:lvlText w:val="•"/>
      <w:lvlJc w:val="left"/>
      <w:pPr>
        <w:ind w:left="2986" w:hanging="269"/>
      </w:pPr>
      <w:rPr>
        <w:rFonts w:hint="default"/>
        <w:lang w:val="en-US" w:eastAsia="en-US" w:bidi="ar-SA"/>
      </w:rPr>
    </w:lvl>
    <w:lvl w:ilvl="4" w:tplc="8DB607F8">
      <w:numFmt w:val="bullet"/>
      <w:lvlText w:val="•"/>
      <w:lvlJc w:val="left"/>
      <w:pPr>
        <w:ind w:left="3880" w:hanging="269"/>
      </w:pPr>
      <w:rPr>
        <w:rFonts w:hint="default"/>
        <w:lang w:val="en-US" w:eastAsia="en-US" w:bidi="ar-SA"/>
      </w:rPr>
    </w:lvl>
    <w:lvl w:ilvl="5" w:tplc="101A3B58">
      <w:numFmt w:val="bullet"/>
      <w:lvlText w:val="•"/>
      <w:lvlJc w:val="left"/>
      <w:pPr>
        <w:ind w:left="4773" w:hanging="269"/>
      </w:pPr>
      <w:rPr>
        <w:rFonts w:hint="default"/>
        <w:lang w:val="en-US" w:eastAsia="en-US" w:bidi="ar-SA"/>
      </w:rPr>
    </w:lvl>
    <w:lvl w:ilvl="6" w:tplc="1594328E">
      <w:numFmt w:val="bullet"/>
      <w:lvlText w:val="•"/>
      <w:lvlJc w:val="left"/>
      <w:pPr>
        <w:ind w:left="5666" w:hanging="269"/>
      </w:pPr>
      <w:rPr>
        <w:rFonts w:hint="default"/>
        <w:lang w:val="en-US" w:eastAsia="en-US" w:bidi="ar-SA"/>
      </w:rPr>
    </w:lvl>
    <w:lvl w:ilvl="7" w:tplc="C7A6E96E">
      <w:numFmt w:val="bullet"/>
      <w:lvlText w:val="•"/>
      <w:lvlJc w:val="left"/>
      <w:pPr>
        <w:ind w:left="6560" w:hanging="269"/>
      </w:pPr>
      <w:rPr>
        <w:rFonts w:hint="default"/>
        <w:lang w:val="en-US" w:eastAsia="en-US" w:bidi="ar-SA"/>
      </w:rPr>
    </w:lvl>
    <w:lvl w:ilvl="8" w:tplc="D42EA496">
      <w:numFmt w:val="bullet"/>
      <w:lvlText w:val="•"/>
      <w:lvlJc w:val="left"/>
      <w:pPr>
        <w:ind w:left="7453" w:hanging="269"/>
      </w:pPr>
      <w:rPr>
        <w:rFonts w:hint="default"/>
        <w:lang w:val="en-US" w:eastAsia="en-US" w:bidi="ar-SA"/>
      </w:rPr>
    </w:lvl>
  </w:abstractNum>
  <w:abstractNum w:abstractNumId="27" w15:restartNumberingAfterBreak="0">
    <w:nsid w:val="33656959"/>
    <w:multiLevelType w:val="multilevel"/>
    <w:tmpl w:val="AF4C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FC09AC"/>
    <w:multiLevelType w:val="multilevel"/>
    <w:tmpl w:val="9BE2DA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264321D"/>
    <w:multiLevelType w:val="multilevel"/>
    <w:tmpl w:val="7CD2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456D5C"/>
    <w:multiLevelType w:val="multilevel"/>
    <w:tmpl w:val="821A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D44024"/>
    <w:multiLevelType w:val="multilevel"/>
    <w:tmpl w:val="B99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FA3613"/>
    <w:multiLevelType w:val="hybridMultilevel"/>
    <w:tmpl w:val="6A1E85A4"/>
    <w:lvl w:ilvl="0" w:tplc="89D2E5FC">
      <w:start w:val="1"/>
      <w:numFmt w:val="decimal"/>
      <w:lvlText w:val="%1."/>
      <w:lvlJc w:val="left"/>
      <w:pPr>
        <w:ind w:left="119" w:hanging="720"/>
      </w:pPr>
      <w:rPr>
        <w:rFonts w:ascii="Times New Roman" w:eastAsia="Times New Roman" w:hAnsi="Times New Roman" w:cs="Times New Roman" w:hint="default"/>
        <w:b w:val="0"/>
        <w:bCs w:val="0"/>
        <w:i w:val="0"/>
        <w:iCs w:val="0"/>
        <w:w w:val="100"/>
        <w:sz w:val="21"/>
        <w:szCs w:val="21"/>
        <w:lang w:val="en-US" w:eastAsia="en-US" w:bidi="ar-SA"/>
      </w:rPr>
    </w:lvl>
    <w:lvl w:ilvl="1" w:tplc="6FBC0E58">
      <w:numFmt w:val="bullet"/>
      <w:lvlText w:val="•"/>
      <w:lvlJc w:val="left"/>
      <w:pPr>
        <w:ind w:left="1032" w:hanging="720"/>
      </w:pPr>
      <w:rPr>
        <w:rFonts w:hint="default"/>
        <w:lang w:val="en-US" w:eastAsia="en-US" w:bidi="ar-SA"/>
      </w:rPr>
    </w:lvl>
    <w:lvl w:ilvl="2" w:tplc="90162E9A">
      <w:numFmt w:val="bullet"/>
      <w:lvlText w:val="•"/>
      <w:lvlJc w:val="left"/>
      <w:pPr>
        <w:ind w:left="1944" w:hanging="720"/>
      </w:pPr>
      <w:rPr>
        <w:rFonts w:hint="default"/>
        <w:lang w:val="en-US" w:eastAsia="en-US" w:bidi="ar-SA"/>
      </w:rPr>
    </w:lvl>
    <w:lvl w:ilvl="3" w:tplc="32703992">
      <w:numFmt w:val="bullet"/>
      <w:lvlText w:val="•"/>
      <w:lvlJc w:val="left"/>
      <w:pPr>
        <w:ind w:left="2856" w:hanging="720"/>
      </w:pPr>
      <w:rPr>
        <w:rFonts w:hint="default"/>
        <w:lang w:val="en-US" w:eastAsia="en-US" w:bidi="ar-SA"/>
      </w:rPr>
    </w:lvl>
    <w:lvl w:ilvl="4" w:tplc="EDEE6618">
      <w:numFmt w:val="bullet"/>
      <w:lvlText w:val="•"/>
      <w:lvlJc w:val="left"/>
      <w:pPr>
        <w:ind w:left="3768" w:hanging="720"/>
      </w:pPr>
      <w:rPr>
        <w:rFonts w:hint="default"/>
        <w:lang w:val="en-US" w:eastAsia="en-US" w:bidi="ar-SA"/>
      </w:rPr>
    </w:lvl>
    <w:lvl w:ilvl="5" w:tplc="1F4E4390">
      <w:numFmt w:val="bullet"/>
      <w:lvlText w:val="•"/>
      <w:lvlJc w:val="left"/>
      <w:pPr>
        <w:ind w:left="4680" w:hanging="720"/>
      </w:pPr>
      <w:rPr>
        <w:rFonts w:hint="default"/>
        <w:lang w:val="en-US" w:eastAsia="en-US" w:bidi="ar-SA"/>
      </w:rPr>
    </w:lvl>
    <w:lvl w:ilvl="6" w:tplc="7258181A">
      <w:numFmt w:val="bullet"/>
      <w:lvlText w:val="•"/>
      <w:lvlJc w:val="left"/>
      <w:pPr>
        <w:ind w:left="5592" w:hanging="720"/>
      </w:pPr>
      <w:rPr>
        <w:rFonts w:hint="default"/>
        <w:lang w:val="en-US" w:eastAsia="en-US" w:bidi="ar-SA"/>
      </w:rPr>
    </w:lvl>
    <w:lvl w:ilvl="7" w:tplc="F2C2C12E">
      <w:numFmt w:val="bullet"/>
      <w:lvlText w:val="•"/>
      <w:lvlJc w:val="left"/>
      <w:pPr>
        <w:ind w:left="6504" w:hanging="720"/>
      </w:pPr>
      <w:rPr>
        <w:rFonts w:hint="default"/>
        <w:lang w:val="en-US" w:eastAsia="en-US" w:bidi="ar-SA"/>
      </w:rPr>
    </w:lvl>
    <w:lvl w:ilvl="8" w:tplc="7576B354">
      <w:numFmt w:val="bullet"/>
      <w:lvlText w:val="•"/>
      <w:lvlJc w:val="left"/>
      <w:pPr>
        <w:ind w:left="7416" w:hanging="720"/>
      </w:pPr>
      <w:rPr>
        <w:rFonts w:hint="default"/>
        <w:lang w:val="en-US" w:eastAsia="en-US" w:bidi="ar-SA"/>
      </w:rPr>
    </w:lvl>
  </w:abstractNum>
  <w:abstractNum w:abstractNumId="33" w15:restartNumberingAfterBreak="0">
    <w:nsid w:val="4E7E081A"/>
    <w:multiLevelType w:val="hybridMultilevel"/>
    <w:tmpl w:val="DEE0B662"/>
    <w:lvl w:ilvl="0" w:tplc="50BA7D4A">
      <w:start w:val="1"/>
      <w:numFmt w:val="decimal"/>
      <w:lvlText w:val="%1."/>
      <w:lvlJc w:val="left"/>
      <w:pPr>
        <w:ind w:left="839" w:hanging="720"/>
      </w:pPr>
      <w:rPr>
        <w:rFonts w:ascii="Times New Roman" w:eastAsia="Times New Roman" w:hAnsi="Times New Roman" w:cs="Times New Roman" w:hint="default"/>
        <w:b w:val="0"/>
        <w:bCs w:val="0"/>
        <w:i w:val="0"/>
        <w:iCs w:val="0"/>
        <w:w w:val="100"/>
        <w:sz w:val="21"/>
        <w:szCs w:val="21"/>
        <w:lang w:val="en-US" w:eastAsia="en-US" w:bidi="ar-SA"/>
      </w:rPr>
    </w:lvl>
    <w:lvl w:ilvl="1" w:tplc="F3A8220A">
      <w:numFmt w:val="bullet"/>
      <w:lvlText w:val="•"/>
      <w:lvlJc w:val="left"/>
      <w:pPr>
        <w:ind w:left="1680" w:hanging="720"/>
      </w:pPr>
      <w:rPr>
        <w:rFonts w:hint="default"/>
        <w:lang w:val="en-US" w:eastAsia="en-US" w:bidi="ar-SA"/>
      </w:rPr>
    </w:lvl>
    <w:lvl w:ilvl="2" w:tplc="2F121EBA">
      <w:numFmt w:val="bullet"/>
      <w:lvlText w:val="•"/>
      <w:lvlJc w:val="left"/>
      <w:pPr>
        <w:ind w:left="2520" w:hanging="720"/>
      </w:pPr>
      <w:rPr>
        <w:rFonts w:hint="default"/>
        <w:lang w:val="en-US" w:eastAsia="en-US" w:bidi="ar-SA"/>
      </w:rPr>
    </w:lvl>
    <w:lvl w:ilvl="3" w:tplc="3D5E8D6A">
      <w:numFmt w:val="bullet"/>
      <w:lvlText w:val="•"/>
      <w:lvlJc w:val="left"/>
      <w:pPr>
        <w:ind w:left="3360" w:hanging="720"/>
      </w:pPr>
      <w:rPr>
        <w:rFonts w:hint="default"/>
        <w:lang w:val="en-US" w:eastAsia="en-US" w:bidi="ar-SA"/>
      </w:rPr>
    </w:lvl>
    <w:lvl w:ilvl="4" w:tplc="988A6068">
      <w:numFmt w:val="bullet"/>
      <w:lvlText w:val="•"/>
      <w:lvlJc w:val="left"/>
      <w:pPr>
        <w:ind w:left="4200" w:hanging="720"/>
      </w:pPr>
      <w:rPr>
        <w:rFonts w:hint="default"/>
        <w:lang w:val="en-US" w:eastAsia="en-US" w:bidi="ar-SA"/>
      </w:rPr>
    </w:lvl>
    <w:lvl w:ilvl="5" w:tplc="0D247BAC">
      <w:numFmt w:val="bullet"/>
      <w:lvlText w:val="•"/>
      <w:lvlJc w:val="left"/>
      <w:pPr>
        <w:ind w:left="5040" w:hanging="720"/>
      </w:pPr>
      <w:rPr>
        <w:rFonts w:hint="default"/>
        <w:lang w:val="en-US" w:eastAsia="en-US" w:bidi="ar-SA"/>
      </w:rPr>
    </w:lvl>
    <w:lvl w:ilvl="6" w:tplc="FCCCDAD0">
      <w:numFmt w:val="bullet"/>
      <w:lvlText w:val="•"/>
      <w:lvlJc w:val="left"/>
      <w:pPr>
        <w:ind w:left="5880" w:hanging="720"/>
      </w:pPr>
      <w:rPr>
        <w:rFonts w:hint="default"/>
        <w:lang w:val="en-US" w:eastAsia="en-US" w:bidi="ar-SA"/>
      </w:rPr>
    </w:lvl>
    <w:lvl w:ilvl="7" w:tplc="D5E8D432">
      <w:numFmt w:val="bullet"/>
      <w:lvlText w:val="•"/>
      <w:lvlJc w:val="left"/>
      <w:pPr>
        <w:ind w:left="6720" w:hanging="720"/>
      </w:pPr>
      <w:rPr>
        <w:rFonts w:hint="default"/>
        <w:lang w:val="en-US" w:eastAsia="en-US" w:bidi="ar-SA"/>
      </w:rPr>
    </w:lvl>
    <w:lvl w:ilvl="8" w:tplc="393AE2C8">
      <w:numFmt w:val="bullet"/>
      <w:lvlText w:val="•"/>
      <w:lvlJc w:val="left"/>
      <w:pPr>
        <w:ind w:left="7560" w:hanging="720"/>
      </w:pPr>
      <w:rPr>
        <w:rFonts w:hint="default"/>
        <w:lang w:val="en-US" w:eastAsia="en-US" w:bidi="ar-SA"/>
      </w:rPr>
    </w:lvl>
  </w:abstractNum>
  <w:abstractNum w:abstractNumId="34" w15:restartNumberingAfterBreak="0">
    <w:nsid w:val="4F4F5C14"/>
    <w:multiLevelType w:val="hybridMultilevel"/>
    <w:tmpl w:val="5BEE2F56"/>
    <w:lvl w:ilvl="0" w:tplc="8CAC28A8">
      <w:start w:val="1"/>
      <w:numFmt w:val="lowerLetter"/>
      <w:lvlText w:val="%1."/>
      <w:lvlJc w:val="left"/>
      <w:pPr>
        <w:ind w:left="1688" w:hanging="41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7C0BCD"/>
    <w:multiLevelType w:val="multilevel"/>
    <w:tmpl w:val="B7D0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1549C0"/>
    <w:multiLevelType w:val="multilevel"/>
    <w:tmpl w:val="008A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2D09C7"/>
    <w:multiLevelType w:val="multilevel"/>
    <w:tmpl w:val="AC4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055460"/>
    <w:multiLevelType w:val="multilevel"/>
    <w:tmpl w:val="6766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13562A"/>
    <w:multiLevelType w:val="multilevel"/>
    <w:tmpl w:val="A85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F009A5"/>
    <w:multiLevelType w:val="multilevel"/>
    <w:tmpl w:val="586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5A2105"/>
    <w:multiLevelType w:val="multilevel"/>
    <w:tmpl w:val="C7A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4D5386"/>
    <w:multiLevelType w:val="multilevel"/>
    <w:tmpl w:val="099849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DCD219D"/>
    <w:multiLevelType w:val="multilevel"/>
    <w:tmpl w:val="8B66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51067F"/>
    <w:multiLevelType w:val="multilevel"/>
    <w:tmpl w:val="E618D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1F227B9"/>
    <w:multiLevelType w:val="multilevel"/>
    <w:tmpl w:val="23C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C37B5C"/>
    <w:multiLevelType w:val="multilevel"/>
    <w:tmpl w:val="A76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D0111"/>
    <w:multiLevelType w:val="hybridMultilevel"/>
    <w:tmpl w:val="15049356"/>
    <w:lvl w:ilvl="0" w:tplc="EE086034">
      <w:numFmt w:val="bullet"/>
      <w:lvlText w:val="•"/>
      <w:lvlJc w:val="left"/>
      <w:pPr>
        <w:ind w:left="1650" w:hanging="272"/>
      </w:pPr>
      <w:rPr>
        <w:rFonts w:ascii="Arial" w:eastAsia="Arial" w:hAnsi="Arial" w:cs="Arial" w:hint="default"/>
        <w:b w:val="0"/>
        <w:bCs w:val="0"/>
        <w:i w:val="0"/>
        <w:iCs w:val="0"/>
        <w:w w:val="137"/>
        <w:sz w:val="21"/>
        <w:szCs w:val="21"/>
        <w:lang w:val="en-US" w:eastAsia="en-US" w:bidi="ar-SA"/>
      </w:rPr>
    </w:lvl>
    <w:lvl w:ilvl="1" w:tplc="1DFA4F58">
      <w:numFmt w:val="bullet"/>
      <w:lvlText w:val="•"/>
      <w:lvlJc w:val="left"/>
      <w:pPr>
        <w:ind w:left="2418" w:hanging="272"/>
      </w:pPr>
      <w:rPr>
        <w:rFonts w:hint="default"/>
        <w:lang w:val="en-US" w:eastAsia="en-US" w:bidi="ar-SA"/>
      </w:rPr>
    </w:lvl>
    <w:lvl w:ilvl="2" w:tplc="5FC22C28">
      <w:numFmt w:val="bullet"/>
      <w:lvlText w:val="•"/>
      <w:lvlJc w:val="left"/>
      <w:pPr>
        <w:ind w:left="3176" w:hanging="272"/>
      </w:pPr>
      <w:rPr>
        <w:rFonts w:hint="default"/>
        <w:lang w:val="en-US" w:eastAsia="en-US" w:bidi="ar-SA"/>
      </w:rPr>
    </w:lvl>
    <w:lvl w:ilvl="3" w:tplc="4E241CE6">
      <w:numFmt w:val="bullet"/>
      <w:lvlText w:val="•"/>
      <w:lvlJc w:val="left"/>
      <w:pPr>
        <w:ind w:left="3934" w:hanging="272"/>
      </w:pPr>
      <w:rPr>
        <w:rFonts w:hint="default"/>
        <w:lang w:val="en-US" w:eastAsia="en-US" w:bidi="ar-SA"/>
      </w:rPr>
    </w:lvl>
    <w:lvl w:ilvl="4" w:tplc="29D4F468">
      <w:numFmt w:val="bullet"/>
      <w:lvlText w:val="•"/>
      <w:lvlJc w:val="left"/>
      <w:pPr>
        <w:ind w:left="4692" w:hanging="272"/>
      </w:pPr>
      <w:rPr>
        <w:rFonts w:hint="default"/>
        <w:lang w:val="en-US" w:eastAsia="en-US" w:bidi="ar-SA"/>
      </w:rPr>
    </w:lvl>
    <w:lvl w:ilvl="5" w:tplc="CF322EE8">
      <w:numFmt w:val="bullet"/>
      <w:lvlText w:val="•"/>
      <w:lvlJc w:val="left"/>
      <w:pPr>
        <w:ind w:left="5450" w:hanging="272"/>
      </w:pPr>
      <w:rPr>
        <w:rFonts w:hint="default"/>
        <w:lang w:val="en-US" w:eastAsia="en-US" w:bidi="ar-SA"/>
      </w:rPr>
    </w:lvl>
    <w:lvl w:ilvl="6" w:tplc="F240178E">
      <w:numFmt w:val="bullet"/>
      <w:lvlText w:val="•"/>
      <w:lvlJc w:val="left"/>
      <w:pPr>
        <w:ind w:left="6208" w:hanging="272"/>
      </w:pPr>
      <w:rPr>
        <w:rFonts w:hint="default"/>
        <w:lang w:val="en-US" w:eastAsia="en-US" w:bidi="ar-SA"/>
      </w:rPr>
    </w:lvl>
    <w:lvl w:ilvl="7" w:tplc="0EF07BC8">
      <w:numFmt w:val="bullet"/>
      <w:lvlText w:val="•"/>
      <w:lvlJc w:val="left"/>
      <w:pPr>
        <w:ind w:left="6966" w:hanging="272"/>
      </w:pPr>
      <w:rPr>
        <w:rFonts w:hint="default"/>
        <w:lang w:val="en-US" w:eastAsia="en-US" w:bidi="ar-SA"/>
      </w:rPr>
    </w:lvl>
    <w:lvl w:ilvl="8" w:tplc="19A2DC44">
      <w:numFmt w:val="bullet"/>
      <w:lvlText w:val="•"/>
      <w:lvlJc w:val="left"/>
      <w:pPr>
        <w:ind w:left="7724" w:hanging="272"/>
      </w:pPr>
      <w:rPr>
        <w:rFonts w:hint="default"/>
        <w:lang w:val="en-US" w:eastAsia="en-US" w:bidi="ar-SA"/>
      </w:rPr>
    </w:lvl>
  </w:abstractNum>
  <w:abstractNum w:abstractNumId="48" w15:restartNumberingAfterBreak="0">
    <w:nsid w:val="74F078FB"/>
    <w:multiLevelType w:val="multilevel"/>
    <w:tmpl w:val="084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593096"/>
    <w:multiLevelType w:val="multilevel"/>
    <w:tmpl w:val="505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E23654"/>
    <w:multiLevelType w:val="hybridMultilevel"/>
    <w:tmpl w:val="5C1042FC"/>
    <w:lvl w:ilvl="0" w:tplc="FFFFFFFF">
      <w:start w:val="1"/>
      <w:numFmt w:val="upperLetter"/>
      <w:lvlText w:val="%1."/>
      <w:lvlJc w:val="left"/>
      <w:pPr>
        <w:ind w:left="877" w:hanging="720"/>
      </w:pPr>
      <w:rPr>
        <w:rFonts w:hint="default"/>
        <w:spacing w:val="-1"/>
        <w:w w:val="100"/>
        <w:lang w:val="en-US" w:eastAsia="en-US" w:bidi="ar-SA"/>
      </w:rPr>
    </w:lvl>
    <w:lvl w:ilvl="1" w:tplc="FFFFFFFF">
      <w:start w:val="1"/>
      <w:numFmt w:val="decimal"/>
      <w:lvlText w:val="%2."/>
      <w:lvlJc w:val="left"/>
      <w:pPr>
        <w:ind w:left="1018" w:hanging="411"/>
      </w:pPr>
      <w:rPr>
        <w:rFonts w:hint="default"/>
        <w:w w:val="100"/>
        <w:lang w:val="en-US" w:eastAsia="en-US" w:bidi="ar-SA"/>
      </w:rPr>
    </w:lvl>
    <w:lvl w:ilvl="2" w:tplc="04090001">
      <w:start w:val="1"/>
      <w:numFmt w:val="bullet"/>
      <w:lvlText w:val=""/>
      <w:lvlJc w:val="left"/>
      <w:pPr>
        <w:ind w:left="1637" w:hanging="360"/>
      </w:pPr>
      <w:rPr>
        <w:rFonts w:ascii="Symbol" w:hAnsi="Symbol" w:hint="default"/>
      </w:rPr>
    </w:lvl>
    <w:lvl w:ilvl="3" w:tplc="FFFFFFFF">
      <w:numFmt w:val="bullet"/>
      <w:lvlText w:val="•"/>
      <w:lvlJc w:val="left"/>
      <w:pPr>
        <w:ind w:left="1738" w:hanging="411"/>
      </w:pPr>
      <w:rPr>
        <w:rFonts w:ascii="Times New Roman" w:eastAsia="Times New Roman" w:hAnsi="Times New Roman" w:cs="Times New Roman" w:hint="default"/>
        <w:b w:val="0"/>
        <w:bCs w:val="0"/>
        <w:i w:val="0"/>
        <w:iCs w:val="0"/>
        <w:w w:val="100"/>
        <w:sz w:val="21"/>
        <w:szCs w:val="21"/>
        <w:lang w:val="en-US" w:eastAsia="en-US" w:bidi="ar-SA"/>
      </w:rPr>
    </w:lvl>
    <w:lvl w:ilvl="4" w:tplc="FFFFFFFF">
      <w:numFmt w:val="bullet"/>
      <w:lvlText w:val="•"/>
      <w:lvlJc w:val="left"/>
      <w:pPr>
        <w:ind w:left="1240" w:hanging="411"/>
      </w:pPr>
      <w:rPr>
        <w:rFonts w:hint="default"/>
        <w:lang w:val="en-US" w:eastAsia="en-US" w:bidi="ar-SA"/>
      </w:rPr>
    </w:lvl>
    <w:lvl w:ilvl="5" w:tplc="FFFFFFFF">
      <w:numFmt w:val="bullet"/>
      <w:lvlText w:val="•"/>
      <w:lvlJc w:val="left"/>
      <w:pPr>
        <w:ind w:left="1300" w:hanging="411"/>
      </w:pPr>
      <w:rPr>
        <w:rFonts w:hint="default"/>
        <w:lang w:val="en-US" w:eastAsia="en-US" w:bidi="ar-SA"/>
      </w:rPr>
    </w:lvl>
    <w:lvl w:ilvl="6" w:tplc="FFFFFFFF">
      <w:numFmt w:val="bullet"/>
      <w:lvlText w:val="•"/>
      <w:lvlJc w:val="left"/>
      <w:pPr>
        <w:ind w:left="1320" w:hanging="411"/>
      </w:pPr>
      <w:rPr>
        <w:rFonts w:hint="default"/>
        <w:lang w:val="en-US" w:eastAsia="en-US" w:bidi="ar-SA"/>
      </w:rPr>
    </w:lvl>
    <w:lvl w:ilvl="7" w:tplc="FFFFFFFF">
      <w:numFmt w:val="bullet"/>
      <w:lvlText w:val="•"/>
      <w:lvlJc w:val="left"/>
      <w:pPr>
        <w:ind w:left="1680" w:hanging="411"/>
      </w:pPr>
      <w:rPr>
        <w:rFonts w:hint="default"/>
        <w:lang w:val="en-US" w:eastAsia="en-US" w:bidi="ar-SA"/>
      </w:rPr>
    </w:lvl>
    <w:lvl w:ilvl="8" w:tplc="FFFFFFFF">
      <w:numFmt w:val="bullet"/>
      <w:lvlText w:val="•"/>
      <w:lvlJc w:val="left"/>
      <w:pPr>
        <w:ind w:left="1740" w:hanging="411"/>
      </w:pPr>
      <w:rPr>
        <w:rFonts w:hint="default"/>
        <w:lang w:val="en-US" w:eastAsia="en-US" w:bidi="ar-SA"/>
      </w:rPr>
    </w:lvl>
  </w:abstractNum>
  <w:abstractNum w:abstractNumId="51" w15:restartNumberingAfterBreak="0">
    <w:nsid w:val="76A731B9"/>
    <w:multiLevelType w:val="hybridMultilevel"/>
    <w:tmpl w:val="8DB00534"/>
    <w:lvl w:ilvl="0" w:tplc="015C8A4C">
      <w:numFmt w:val="bullet"/>
      <w:lvlText w:val="•"/>
      <w:lvlJc w:val="left"/>
      <w:pPr>
        <w:ind w:left="966" w:hanging="361"/>
      </w:pPr>
      <w:rPr>
        <w:rFonts w:ascii="Arial" w:eastAsia="Arial" w:hAnsi="Arial" w:cs="Arial" w:hint="default"/>
        <w:b w:val="0"/>
        <w:bCs w:val="0"/>
        <w:i w:val="0"/>
        <w:iCs w:val="0"/>
        <w:w w:val="132"/>
        <w:sz w:val="21"/>
        <w:szCs w:val="21"/>
        <w:lang w:val="en-US" w:eastAsia="en-US" w:bidi="ar-SA"/>
      </w:rPr>
    </w:lvl>
    <w:lvl w:ilvl="1" w:tplc="2514E7A2">
      <w:numFmt w:val="bullet"/>
      <w:lvlText w:val="•"/>
      <w:lvlJc w:val="left"/>
      <w:pPr>
        <w:ind w:left="1788" w:hanging="361"/>
      </w:pPr>
      <w:rPr>
        <w:rFonts w:hint="default"/>
        <w:lang w:val="en-US" w:eastAsia="en-US" w:bidi="ar-SA"/>
      </w:rPr>
    </w:lvl>
    <w:lvl w:ilvl="2" w:tplc="CB645416">
      <w:numFmt w:val="bullet"/>
      <w:lvlText w:val="•"/>
      <w:lvlJc w:val="left"/>
      <w:pPr>
        <w:ind w:left="2616" w:hanging="361"/>
      </w:pPr>
      <w:rPr>
        <w:rFonts w:hint="default"/>
        <w:lang w:val="en-US" w:eastAsia="en-US" w:bidi="ar-SA"/>
      </w:rPr>
    </w:lvl>
    <w:lvl w:ilvl="3" w:tplc="4D16ACB8">
      <w:numFmt w:val="bullet"/>
      <w:lvlText w:val="•"/>
      <w:lvlJc w:val="left"/>
      <w:pPr>
        <w:ind w:left="3444" w:hanging="361"/>
      </w:pPr>
      <w:rPr>
        <w:rFonts w:hint="default"/>
        <w:lang w:val="en-US" w:eastAsia="en-US" w:bidi="ar-SA"/>
      </w:rPr>
    </w:lvl>
    <w:lvl w:ilvl="4" w:tplc="B82CDF80">
      <w:numFmt w:val="bullet"/>
      <w:lvlText w:val="•"/>
      <w:lvlJc w:val="left"/>
      <w:pPr>
        <w:ind w:left="4272" w:hanging="361"/>
      </w:pPr>
      <w:rPr>
        <w:rFonts w:hint="default"/>
        <w:lang w:val="en-US" w:eastAsia="en-US" w:bidi="ar-SA"/>
      </w:rPr>
    </w:lvl>
    <w:lvl w:ilvl="5" w:tplc="DA00EA7E">
      <w:numFmt w:val="bullet"/>
      <w:lvlText w:val="•"/>
      <w:lvlJc w:val="left"/>
      <w:pPr>
        <w:ind w:left="5100" w:hanging="361"/>
      </w:pPr>
      <w:rPr>
        <w:rFonts w:hint="default"/>
        <w:lang w:val="en-US" w:eastAsia="en-US" w:bidi="ar-SA"/>
      </w:rPr>
    </w:lvl>
    <w:lvl w:ilvl="6" w:tplc="9138BF9E">
      <w:numFmt w:val="bullet"/>
      <w:lvlText w:val="•"/>
      <w:lvlJc w:val="left"/>
      <w:pPr>
        <w:ind w:left="5928" w:hanging="361"/>
      </w:pPr>
      <w:rPr>
        <w:rFonts w:hint="default"/>
        <w:lang w:val="en-US" w:eastAsia="en-US" w:bidi="ar-SA"/>
      </w:rPr>
    </w:lvl>
    <w:lvl w:ilvl="7" w:tplc="C1A68674">
      <w:numFmt w:val="bullet"/>
      <w:lvlText w:val="•"/>
      <w:lvlJc w:val="left"/>
      <w:pPr>
        <w:ind w:left="6756" w:hanging="361"/>
      </w:pPr>
      <w:rPr>
        <w:rFonts w:hint="default"/>
        <w:lang w:val="en-US" w:eastAsia="en-US" w:bidi="ar-SA"/>
      </w:rPr>
    </w:lvl>
    <w:lvl w:ilvl="8" w:tplc="93603D28">
      <w:numFmt w:val="bullet"/>
      <w:lvlText w:val="•"/>
      <w:lvlJc w:val="left"/>
      <w:pPr>
        <w:ind w:left="7584" w:hanging="361"/>
      </w:pPr>
      <w:rPr>
        <w:rFonts w:hint="default"/>
        <w:lang w:val="en-US" w:eastAsia="en-US" w:bidi="ar-SA"/>
      </w:rPr>
    </w:lvl>
  </w:abstractNum>
  <w:abstractNum w:abstractNumId="52" w15:restartNumberingAfterBreak="0">
    <w:nsid w:val="77997AEA"/>
    <w:multiLevelType w:val="multilevel"/>
    <w:tmpl w:val="74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EE399B"/>
    <w:multiLevelType w:val="multilevel"/>
    <w:tmpl w:val="5E64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423DB8"/>
    <w:multiLevelType w:val="hybridMultilevel"/>
    <w:tmpl w:val="1B04E208"/>
    <w:lvl w:ilvl="0" w:tplc="F2928BBA">
      <w:numFmt w:val="bullet"/>
      <w:lvlText w:val="•"/>
      <w:lvlJc w:val="left"/>
      <w:pPr>
        <w:ind w:left="839" w:hanging="360"/>
      </w:pPr>
      <w:rPr>
        <w:rFonts w:ascii="Arial" w:eastAsia="Arial" w:hAnsi="Arial" w:cs="Arial" w:hint="default"/>
        <w:b w:val="0"/>
        <w:bCs w:val="0"/>
        <w:i w:val="0"/>
        <w:iCs w:val="0"/>
        <w:w w:val="130"/>
        <w:sz w:val="20"/>
        <w:szCs w:val="20"/>
        <w:lang w:val="en-US" w:eastAsia="en-US" w:bidi="ar-SA"/>
      </w:rPr>
    </w:lvl>
    <w:lvl w:ilvl="1" w:tplc="0A3CEBF4">
      <w:numFmt w:val="bullet"/>
      <w:lvlText w:val="•"/>
      <w:lvlJc w:val="left"/>
      <w:pPr>
        <w:ind w:left="1680" w:hanging="360"/>
      </w:pPr>
      <w:rPr>
        <w:rFonts w:hint="default"/>
        <w:lang w:val="en-US" w:eastAsia="en-US" w:bidi="ar-SA"/>
      </w:rPr>
    </w:lvl>
    <w:lvl w:ilvl="2" w:tplc="9FA63A1E">
      <w:numFmt w:val="bullet"/>
      <w:lvlText w:val="•"/>
      <w:lvlJc w:val="left"/>
      <w:pPr>
        <w:ind w:left="2520" w:hanging="360"/>
      </w:pPr>
      <w:rPr>
        <w:rFonts w:hint="default"/>
        <w:lang w:val="en-US" w:eastAsia="en-US" w:bidi="ar-SA"/>
      </w:rPr>
    </w:lvl>
    <w:lvl w:ilvl="3" w:tplc="143A409E">
      <w:numFmt w:val="bullet"/>
      <w:lvlText w:val="•"/>
      <w:lvlJc w:val="left"/>
      <w:pPr>
        <w:ind w:left="3360" w:hanging="360"/>
      </w:pPr>
      <w:rPr>
        <w:rFonts w:hint="default"/>
        <w:lang w:val="en-US" w:eastAsia="en-US" w:bidi="ar-SA"/>
      </w:rPr>
    </w:lvl>
    <w:lvl w:ilvl="4" w:tplc="603C44F4">
      <w:numFmt w:val="bullet"/>
      <w:lvlText w:val="•"/>
      <w:lvlJc w:val="left"/>
      <w:pPr>
        <w:ind w:left="4200" w:hanging="360"/>
      </w:pPr>
      <w:rPr>
        <w:rFonts w:hint="default"/>
        <w:lang w:val="en-US" w:eastAsia="en-US" w:bidi="ar-SA"/>
      </w:rPr>
    </w:lvl>
    <w:lvl w:ilvl="5" w:tplc="A0D81304">
      <w:numFmt w:val="bullet"/>
      <w:lvlText w:val="•"/>
      <w:lvlJc w:val="left"/>
      <w:pPr>
        <w:ind w:left="5040" w:hanging="360"/>
      </w:pPr>
      <w:rPr>
        <w:rFonts w:hint="default"/>
        <w:lang w:val="en-US" w:eastAsia="en-US" w:bidi="ar-SA"/>
      </w:rPr>
    </w:lvl>
    <w:lvl w:ilvl="6" w:tplc="D7DA4D56">
      <w:numFmt w:val="bullet"/>
      <w:lvlText w:val="•"/>
      <w:lvlJc w:val="left"/>
      <w:pPr>
        <w:ind w:left="5880" w:hanging="360"/>
      </w:pPr>
      <w:rPr>
        <w:rFonts w:hint="default"/>
        <w:lang w:val="en-US" w:eastAsia="en-US" w:bidi="ar-SA"/>
      </w:rPr>
    </w:lvl>
    <w:lvl w:ilvl="7" w:tplc="5CF800BE">
      <w:numFmt w:val="bullet"/>
      <w:lvlText w:val="•"/>
      <w:lvlJc w:val="left"/>
      <w:pPr>
        <w:ind w:left="6720" w:hanging="360"/>
      </w:pPr>
      <w:rPr>
        <w:rFonts w:hint="default"/>
        <w:lang w:val="en-US" w:eastAsia="en-US" w:bidi="ar-SA"/>
      </w:rPr>
    </w:lvl>
    <w:lvl w:ilvl="8" w:tplc="E6A006B6">
      <w:numFmt w:val="bullet"/>
      <w:lvlText w:val="•"/>
      <w:lvlJc w:val="left"/>
      <w:pPr>
        <w:ind w:left="7560" w:hanging="360"/>
      </w:pPr>
      <w:rPr>
        <w:rFonts w:hint="default"/>
        <w:lang w:val="en-US" w:eastAsia="en-US" w:bidi="ar-SA"/>
      </w:rPr>
    </w:lvl>
  </w:abstractNum>
  <w:abstractNum w:abstractNumId="55" w15:restartNumberingAfterBreak="0">
    <w:nsid w:val="79592B22"/>
    <w:multiLevelType w:val="multilevel"/>
    <w:tmpl w:val="E54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0F0529"/>
    <w:multiLevelType w:val="multilevel"/>
    <w:tmpl w:val="6886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8F0CF4"/>
    <w:multiLevelType w:val="hybridMultilevel"/>
    <w:tmpl w:val="392CC726"/>
    <w:lvl w:ilvl="0" w:tplc="B7D4DFB6">
      <w:start w:val="1"/>
      <w:numFmt w:val="decimal"/>
      <w:lvlText w:val="%1."/>
      <w:lvlJc w:val="left"/>
      <w:pPr>
        <w:ind w:left="1046" w:hanging="776"/>
      </w:pPr>
      <w:rPr>
        <w:rFonts w:ascii="Times New Roman" w:eastAsia="Times New Roman" w:hAnsi="Times New Roman" w:cs="Times New Roman" w:hint="default"/>
        <w:b/>
        <w:bCs/>
        <w:i w:val="0"/>
        <w:iCs w:val="0"/>
        <w:w w:val="100"/>
        <w:sz w:val="21"/>
        <w:szCs w:val="21"/>
        <w:lang w:val="en-US" w:eastAsia="en-US" w:bidi="ar-SA"/>
      </w:rPr>
    </w:lvl>
    <w:lvl w:ilvl="1" w:tplc="C480DBD8">
      <w:numFmt w:val="bullet"/>
      <w:lvlText w:val="•"/>
      <w:lvlJc w:val="left"/>
      <w:pPr>
        <w:ind w:left="1770" w:hanging="776"/>
      </w:pPr>
      <w:rPr>
        <w:rFonts w:hint="default"/>
        <w:lang w:val="en-US" w:eastAsia="en-US" w:bidi="ar-SA"/>
      </w:rPr>
    </w:lvl>
    <w:lvl w:ilvl="2" w:tplc="94A4FB30">
      <w:numFmt w:val="bullet"/>
      <w:lvlText w:val="•"/>
      <w:lvlJc w:val="left"/>
      <w:pPr>
        <w:ind w:left="2600" w:hanging="776"/>
      </w:pPr>
      <w:rPr>
        <w:rFonts w:hint="default"/>
        <w:lang w:val="en-US" w:eastAsia="en-US" w:bidi="ar-SA"/>
      </w:rPr>
    </w:lvl>
    <w:lvl w:ilvl="3" w:tplc="0560844C">
      <w:numFmt w:val="bullet"/>
      <w:lvlText w:val="•"/>
      <w:lvlJc w:val="left"/>
      <w:pPr>
        <w:ind w:left="3430" w:hanging="776"/>
      </w:pPr>
      <w:rPr>
        <w:rFonts w:hint="default"/>
        <w:lang w:val="en-US" w:eastAsia="en-US" w:bidi="ar-SA"/>
      </w:rPr>
    </w:lvl>
    <w:lvl w:ilvl="4" w:tplc="FD007D8A">
      <w:numFmt w:val="bullet"/>
      <w:lvlText w:val="•"/>
      <w:lvlJc w:val="left"/>
      <w:pPr>
        <w:ind w:left="4260" w:hanging="776"/>
      </w:pPr>
      <w:rPr>
        <w:rFonts w:hint="default"/>
        <w:lang w:val="en-US" w:eastAsia="en-US" w:bidi="ar-SA"/>
      </w:rPr>
    </w:lvl>
    <w:lvl w:ilvl="5" w:tplc="B8A28DC2">
      <w:numFmt w:val="bullet"/>
      <w:lvlText w:val="•"/>
      <w:lvlJc w:val="left"/>
      <w:pPr>
        <w:ind w:left="5090" w:hanging="776"/>
      </w:pPr>
      <w:rPr>
        <w:rFonts w:hint="default"/>
        <w:lang w:val="en-US" w:eastAsia="en-US" w:bidi="ar-SA"/>
      </w:rPr>
    </w:lvl>
    <w:lvl w:ilvl="6" w:tplc="ADDEA2BA">
      <w:numFmt w:val="bullet"/>
      <w:lvlText w:val="•"/>
      <w:lvlJc w:val="left"/>
      <w:pPr>
        <w:ind w:left="5920" w:hanging="776"/>
      </w:pPr>
      <w:rPr>
        <w:rFonts w:hint="default"/>
        <w:lang w:val="en-US" w:eastAsia="en-US" w:bidi="ar-SA"/>
      </w:rPr>
    </w:lvl>
    <w:lvl w:ilvl="7" w:tplc="5C82666C">
      <w:numFmt w:val="bullet"/>
      <w:lvlText w:val="•"/>
      <w:lvlJc w:val="left"/>
      <w:pPr>
        <w:ind w:left="6750" w:hanging="776"/>
      </w:pPr>
      <w:rPr>
        <w:rFonts w:hint="default"/>
        <w:lang w:val="en-US" w:eastAsia="en-US" w:bidi="ar-SA"/>
      </w:rPr>
    </w:lvl>
    <w:lvl w:ilvl="8" w:tplc="C9DA29C4">
      <w:numFmt w:val="bullet"/>
      <w:lvlText w:val="•"/>
      <w:lvlJc w:val="left"/>
      <w:pPr>
        <w:ind w:left="7580" w:hanging="776"/>
      </w:pPr>
      <w:rPr>
        <w:rFonts w:hint="default"/>
        <w:lang w:val="en-US" w:eastAsia="en-US" w:bidi="ar-SA"/>
      </w:rPr>
    </w:lvl>
  </w:abstractNum>
  <w:num w:numId="1" w16cid:durableId="396899142">
    <w:abstractNumId w:val="26"/>
  </w:num>
  <w:num w:numId="2" w16cid:durableId="23868465">
    <w:abstractNumId w:val="33"/>
  </w:num>
  <w:num w:numId="3" w16cid:durableId="389811834">
    <w:abstractNumId w:val="32"/>
  </w:num>
  <w:num w:numId="4" w16cid:durableId="1937324171">
    <w:abstractNumId w:val="54"/>
  </w:num>
  <w:num w:numId="5" w16cid:durableId="1223709756">
    <w:abstractNumId w:val="47"/>
  </w:num>
  <w:num w:numId="6" w16cid:durableId="99109380">
    <w:abstractNumId w:val="8"/>
  </w:num>
  <w:num w:numId="7" w16cid:durableId="424426630">
    <w:abstractNumId w:val="19"/>
  </w:num>
  <w:num w:numId="8" w16cid:durableId="2113622967">
    <w:abstractNumId w:val="2"/>
  </w:num>
  <w:num w:numId="9" w16cid:durableId="115098823">
    <w:abstractNumId w:val="51"/>
  </w:num>
  <w:num w:numId="10" w16cid:durableId="1825275314">
    <w:abstractNumId w:val="57"/>
  </w:num>
  <w:num w:numId="11" w16cid:durableId="1493333586">
    <w:abstractNumId w:val="3"/>
  </w:num>
  <w:num w:numId="12" w16cid:durableId="94445517">
    <w:abstractNumId w:val="11"/>
  </w:num>
  <w:num w:numId="13" w16cid:durableId="2081057516">
    <w:abstractNumId w:val="50"/>
  </w:num>
  <w:num w:numId="14" w16cid:durableId="1757169695">
    <w:abstractNumId w:val="44"/>
  </w:num>
  <w:num w:numId="15" w16cid:durableId="1349407661">
    <w:abstractNumId w:val="28"/>
  </w:num>
  <w:num w:numId="16" w16cid:durableId="1509976692">
    <w:abstractNumId w:val="22"/>
  </w:num>
  <w:num w:numId="17" w16cid:durableId="148906278">
    <w:abstractNumId w:val="42"/>
  </w:num>
  <w:num w:numId="18" w16cid:durableId="1919052643">
    <w:abstractNumId w:val="6"/>
  </w:num>
  <w:num w:numId="19" w16cid:durableId="1101291696">
    <w:abstractNumId w:val="0"/>
  </w:num>
  <w:num w:numId="20" w16cid:durableId="2081050337">
    <w:abstractNumId w:val="52"/>
  </w:num>
  <w:num w:numId="21" w16cid:durableId="178278932">
    <w:abstractNumId w:val="40"/>
  </w:num>
  <w:num w:numId="22" w16cid:durableId="551889821">
    <w:abstractNumId w:val="30"/>
  </w:num>
  <w:num w:numId="23" w16cid:durableId="52120823">
    <w:abstractNumId w:val="41"/>
  </w:num>
  <w:num w:numId="24" w16cid:durableId="1562785119">
    <w:abstractNumId w:val="31"/>
  </w:num>
  <w:num w:numId="25" w16cid:durableId="682050693">
    <w:abstractNumId w:val="24"/>
  </w:num>
  <w:num w:numId="26" w16cid:durableId="1889565927">
    <w:abstractNumId w:val="13"/>
  </w:num>
  <w:num w:numId="27" w16cid:durableId="110714229">
    <w:abstractNumId w:val="25"/>
  </w:num>
  <w:num w:numId="28" w16cid:durableId="1924601345">
    <w:abstractNumId w:val="27"/>
  </w:num>
  <w:num w:numId="29" w16cid:durableId="17003082">
    <w:abstractNumId w:val="49"/>
  </w:num>
  <w:num w:numId="30" w16cid:durableId="285310355">
    <w:abstractNumId w:val="56"/>
  </w:num>
  <w:num w:numId="31" w16cid:durableId="2056542531">
    <w:abstractNumId w:val="29"/>
  </w:num>
  <w:num w:numId="32" w16cid:durableId="936209518">
    <w:abstractNumId w:val="9"/>
  </w:num>
  <w:num w:numId="33" w16cid:durableId="1982465429">
    <w:abstractNumId w:val="20"/>
  </w:num>
  <w:num w:numId="34" w16cid:durableId="920139457">
    <w:abstractNumId w:val="45"/>
  </w:num>
  <w:num w:numId="35" w16cid:durableId="2007592809">
    <w:abstractNumId w:val="1"/>
  </w:num>
  <w:num w:numId="36" w16cid:durableId="390889135">
    <w:abstractNumId w:val="15"/>
  </w:num>
  <w:num w:numId="37" w16cid:durableId="1484158770">
    <w:abstractNumId w:val="4"/>
  </w:num>
  <w:num w:numId="38" w16cid:durableId="37553842">
    <w:abstractNumId w:val="18"/>
  </w:num>
  <w:num w:numId="39" w16cid:durableId="1200895072">
    <w:abstractNumId w:val="10"/>
  </w:num>
  <w:num w:numId="40" w16cid:durableId="1012335710">
    <w:abstractNumId w:val="48"/>
  </w:num>
  <w:num w:numId="41" w16cid:durableId="2026053991">
    <w:abstractNumId w:val="43"/>
  </w:num>
  <w:num w:numId="42" w16cid:durableId="337542426">
    <w:abstractNumId w:val="35"/>
  </w:num>
  <w:num w:numId="43" w16cid:durableId="1644966476">
    <w:abstractNumId w:val="23"/>
  </w:num>
  <w:num w:numId="44" w16cid:durableId="1985812251">
    <w:abstractNumId w:val="38"/>
  </w:num>
  <w:num w:numId="45" w16cid:durableId="2063552529">
    <w:abstractNumId w:val="17"/>
  </w:num>
  <w:num w:numId="46" w16cid:durableId="710422431">
    <w:abstractNumId w:val="37"/>
  </w:num>
  <w:num w:numId="47" w16cid:durableId="885680467">
    <w:abstractNumId w:val="53"/>
  </w:num>
  <w:num w:numId="48" w16cid:durableId="1742632271">
    <w:abstractNumId w:val="36"/>
  </w:num>
  <w:num w:numId="49" w16cid:durableId="125855973">
    <w:abstractNumId w:val="12"/>
  </w:num>
  <w:num w:numId="50" w16cid:durableId="1216432050">
    <w:abstractNumId w:val="46"/>
  </w:num>
  <w:num w:numId="51" w16cid:durableId="502937787">
    <w:abstractNumId w:val="39"/>
  </w:num>
  <w:num w:numId="52" w16cid:durableId="1416197832">
    <w:abstractNumId w:val="21"/>
  </w:num>
  <w:num w:numId="53" w16cid:durableId="44958830">
    <w:abstractNumId w:val="55"/>
  </w:num>
  <w:num w:numId="54" w16cid:durableId="358970910">
    <w:abstractNumId w:val="7"/>
  </w:num>
  <w:num w:numId="55" w16cid:durableId="224804786">
    <w:abstractNumId w:val="14"/>
  </w:num>
  <w:num w:numId="56" w16cid:durableId="1231577234">
    <w:abstractNumId w:val="5"/>
  </w:num>
  <w:num w:numId="57" w16cid:durableId="1039626619">
    <w:abstractNumId w:val="34"/>
  </w:num>
  <w:num w:numId="58" w16cid:durableId="1879900785">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E8"/>
    <w:rsid w:val="00013627"/>
    <w:rsid w:val="00020ED2"/>
    <w:rsid w:val="00023884"/>
    <w:rsid w:val="000346B5"/>
    <w:rsid w:val="00043AA8"/>
    <w:rsid w:val="000503B6"/>
    <w:rsid w:val="00057853"/>
    <w:rsid w:val="00057B69"/>
    <w:rsid w:val="00067D10"/>
    <w:rsid w:val="00072F76"/>
    <w:rsid w:val="000813B5"/>
    <w:rsid w:val="00081F5F"/>
    <w:rsid w:val="000A2DDD"/>
    <w:rsid w:val="000B7A7D"/>
    <w:rsid w:val="000C0523"/>
    <w:rsid w:val="000C3264"/>
    <w:rsid w:val="00100191"/>
    <w:rsid w:val="00136E6B"/>
    <w:rsid w:val="00164280"/>
    <w:rsid w:val="0018288E"/>
    <w:rsid w:val="00186ECE"/>
    <w:rsid w:val="001910C4"/>
    <w:rsid w:val="00192BCE"/>
    <w:rsid w:val="001C6617"/>
    <w:rsid w:val="001D7468"/>
    <w:rsid w:val="001F6027"/>
    <w:rsid w:val="001F6F6B"/>
    <w:rsid w:val="00201B3A"/>
    <w:rsid w:val="00217FCC"/>
    <w:rsid w:val="002455B8"/>
    <w:rsid w:val="00273B3C"/>
    <w:rsid w:val="00286122"/>
    <w:rsid w:val="00296320"/>
    <w:rsid w:val="002B3D47"/>
    <w:rsid w:val="002B75B8"/>
    <w:rsid w:val="002C0C08"/>
    <w:rsid w:val="002C35F1"/>
    <w:rsid w:val="002C5E31"/>
    <w:rsid w:val="002D762A"/>
    <w:rsid w:val="003051D9"/>
    <w:rsid w:val="0031171C"/>
    <w:rsid w:val="00317B31"/>
    <w:rsid w:val="003359AD"/>
    <w:rsid w:val="00335D5A"/>
    <w:rsid w:val="003365DB"/>
    <w:rsid w:val="00336F0C"/>
    <w:rsid w:val="00342AB6"/>
    <w:rsid w:val="00344267"/>
    <w:rsid w:val="003534E3"/>
    <w:rsid w:val="00357075"/>
    <w:rsid w:val="003719CA"/>
    <w:rsid w:val="00381BC3"/>
    <w:rsid w:val="00383438"/>
    <w:rsid w:val="003A090D"/>
    <w:rsid w:val="003C1ED6"/>
    <w:rsid w:val="003C70D6"/>
    <w:rsid w:val="003D69F4"/>
    <w:rsid w:val="003F6108"/>
    <w:rsid w:val="0040538E"/>
    <w:rsid w:val="004104FF"/>
    <w:rsid w:val="00414945"/>
    <w:rsid w:val="00420DAB"/>
    <w:rsid w:val="00426FA2"/>
    <w:rsid w:val="0043684D"/>
    <w:rsid w:val="00451F10"/>
    <w:rsid w:val="004566D4"/>
    <w:rsid w:val="00460936"/>
    <w:rsid w:val="004714BD"/>
    <w:rsid w:val="00482BC5"/>
    <w:rsid w:val="004A47A5"/>
    <w:rsid w:val="004B2FC0"/>
    <w:rsid w:val="004B36C4"/>
    <w:rsid w:val="004C5A6C"/>
    <w:rsid w:val="004D3327"/>
    <w:rsid w:val="004D50DF"/>
    <w:rsid w:val="004E22AB"/>
    <w:rsid w:val="004E448A"/>
    <w:rsid w:val="004F0983"/>
    <w:rsid w:val="00516241"/>
    <w:rsid w:val="0051682C"/>
    <w:rsid w:val="00524D5B"/>
    <w:rsid w:val="00532F96"/>
    <w:rsid w:val="00540549"/>
    <w:rsid w:val="005500CD"/>
    <w:rsid w:val="005B4F99"/>
    <w:rsid w:val="005C5D84"/>
    <w:rsid w:val="005C78E8"/>
    <w:rsid w:val="005D50AF"/>
    <w:rsid w:val="005D5912"/>
    <w:rsid w:val="005E7DBA"/>
    <w:rsid w:val="005F070C"/>
    <w:rsid w:val="005F4B9E"/>
    <w:rsid w:val="00601443"/>
    <w:rsid w:val="006072EA"/>
    <w:rsid w:val="00607905"/>
    <w:rsid w:val="006461E4"/>
    <w:rsid w:val="0065095A"/>
    <w:rsid w:val="00651F30"/>
    <w:rsid w:val="00685C3F"/>
    <w:rsid w:val="006B3811"/>
    <w:rsid w:val="006B6B12"/>
    <w:rsid w:val="006C0DDA"/>
    <w:rsid w:val="006D441B"/>
    <w:rsid w:val="006F3360"/>
    <w:rsid w:val="0072562B"/>
    <w:rsid w:val="00765651"/>
    <w:rsid w:val="007A3B74"/>
    <w:rsid w:val="007C1937"/>
    <w:rsid w:val="007E32C0"/>
    <w:rsid w:val="007F14CF"/>
    <w:rsid w:val="00814BE0"/>
    <w:rsid w:val="00834824"/>
    <w:rsid w:val="00861D3F"/>
    <w:rsid w:val="00882494"/>
    <w:rsid w:val="008912C5"/>
    <w:rsid w:val="00894AFF"/>
    <w:rsid w:val="008A11BC"/>
    <w:rsid w:val="008A3F94"/>
    <w:rsid w:val="008A5240"/>
    <w:rsid w:val="008C21A3"/>
    <w:rsid w:val="008C7367"/>
    <w:rsid w:val="008E3E71"/>
    <w:rsid w:val="008F29F0"/>
    <w:rsid w:val="00904095"/>
    <w:rsid w:val="00904CDD"/>
    <w:rsid w:val="00926EA4"/>
    <w:rsid w:val="009443BA"/>
    <w:rsid w:val="00944D1B"/>
    <w:rsid w:val="00957603"/>
    <w:rsid w:val="00963B9F"/>
    <w:rsid w:val="00973430"/>
    <w:rsid w:val="009A31BF"/>
    <w:rsid w:val="009A3604"/>
    <w:rsid w:val="009C2E17"/>
    <w:rsid w:val="009D44B3"/>
    <w:rsid w:val="009D6CF7"/>
    <w:rsid w:val="009E1D83"/>
    <w:rsid w:val="009E3C3E"/>
    <w:rsid w:val="00A004EC"/>
    <w:rsid w:val="00A047AF"/>
    <w:rsid w:val="00A21CC8"/>
    <w:rsid w:val="00A32173"/>
    <w:rsid w:val="00A32529"/>
    <w:rsid w:val="00A43DEE"/>
    <w:rsid w:val="00A462DE"/>
    <w:rsid w:val="00A64FB3"/>
    <w:rsid w:val="00A674AF"/>
    <w:rsid w:val="00A86C80"/>
    <w:rsid w:val="00A97ABA"/>
    <w:rsid w:val="00AA54CD"/>
    <w:rsid w:val="00AC5E0A"/>
    <w:rsid w:val="00AC6F76"/>
    <w:rsid w:val="00AE4FE4"/>
    <w:rsid w:val="00B05EBD"/>
    <w:rsid w:val="00B23410"/>
    <w:rsid w:val="00B2416E"/>
    <w:rsid w:val="00B8385B"/>
    <w:rsid w:val="00B94113"/>
    <w:rsid w:val="00B96D80"/>
    <w:rsid w:val="00BA0E01"/>
    <w:rsid w:val="00BB018B"/>
    <w:rsid w:val="00BD35E6"/>
    <w:rsid w:val="00BE137D"/>
    <w:rsid w:val="00BE499F"/>
    <w:rsid w:val="00BF2AEC"/>
    <w:rsid w:val="00BF3026"/>
    <w:rsid w:val="00C12F82"/>
    <w:rsid w:val="00C1329E"/>
    <w:rsid w:val="00C15A4D"/>
    <w:rsid w:val="00C23F1A"/>
    <w:rsid w:val="00C739F9"/>
    <w:rsid w:val="00C74BEB"/>
    <w:rsid w:val="00C83D62"/>
    <w:rsid w:val="00C905A9"/>
    <w:rsid w:val="00C90FFD"/>
    <w:rsid w:val="00CA417F"/>
    <w:rsid w:val="00CC3390"/>
    <w:rsid w:val="00CC65F4"/>
    <w:rsid w:val="00CE08A2"/>
    <w:rsid w:val="00CF4E61"/>
    <w:rsid w:val="00D03D26"/>
    <w:rsid w:val="00D201BF"/>
    <w:rsid w:val="00D52B76"/>
    <w:rsid w:val="00D6476B"/>
    <w:rsid w:val="00D76076"/>
    <w:rsid w:val="00D95B31"/>
    <w:rsid w:val="00DF5CE1"/>
    <w:rsid w:val="00E16355"/>
    <w:rsid w:val="00E4533A"/>
    <w:rsid w:val="00EB376F"/>
    <w:rsid w:val="00EB6523"/>
    <w:rsid w:val="00EC0FB9"/>
    <w:rsid w:val="00EF1BE8"/>
    <w:rsid w:val="00EF449C"/>
    <w:rsid w:val="00EF6C83"/>
    <w:rsid w:val="00F21DCA"/>
    <w:rsid w:val="00F33BE5"/>
    <w:rsid w:val="00F46279"/>
    <w:rsid w:val="00F47A98"/>
    <w:rsid w:val="00F62401"/>
    <w:rsid w:val="00F653A1"/>
    <w:rsid w:val="00F77079"/>
    <w:rsid w:val="00F943A6"/>
    <w:rsid w:val="00FA2AC0"/>
    <w:rsid w:val="00FB0C46"/>
    <w:rsid w:val="00FB2D22"/>
    <w:rsid w:val="00FB7557"/>
    <w:rsid w:val="00FE36A7"/>
    <w:rsid w:val="018E243C"/>
    <w:rsid w:val="06C1B3F1"/>
    <w:rsid w:val="0FB050A1"/>
    <w:rsid w:val="2C127BC3"/>
    <w:rsid w:val="2E11FB91"/>
    <w:rsid w:val="2F5D8771"/>
    <w:rsid w:val="30752B7D"/>
    <w:rsid w:val="355C8FCC"/>
    <w:rsid w:val="35C1123A"/>
    <w:rsid w:val="3EB9D225"/>
    <w:rsid w:val="480721D1"/>
    <w:rsid w:val="56F8BCD0"/>
    <w:rsid w:val="5AA035FC"/>
    <w:rsid w:val="5AF23255"/>
    <w:rsid w:val="627E8C53"/>
    <w:rsid w:val="6342978C"/>
    <w:rsid w:val="7257B1A7"/>
    <w:rsid w:val="72B8482A"/>
    <w:rsid w:val="77E84AFB"/>
    <w:rsid w:val="7AEA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A70C"/>
  <w15:docId w15:val="{F3007E5E-FC33-D144-9DF9-728ED0C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1"/>
      <w:outlineLvl w:val="0"/>
    </w:pPr>
    <w:rPr>
      <w:b/>
      <w:bCs/>
      <w:sz w:val="24"/>
      <w:szCs w:val="24"/>
    </w:rPr>
  </w:style>
  <w:style w:type="paragraph" w:styleId="Heading2">
    <w:name w:val="heading 2"/>
    <w:basedOn w:val="Normal"/>
    <w:uiPriority w:val="9"/>
    <w:unhideWhenUsed/>
    <w:qFormat/>
    <w:pPr>
      <w:spacing w:before="80"/>
      <w:ind w:left="1220"/>
      <w:jc w:val="center"/>
      <w:outlineLvl w:val="1"/>
    </w:pPr>
    <w:rPr>
      <w:b/>
      <w:bCs/>
      <w:sz w:val="21"/>
      <w:szCs w:val="21"/>
    </w:rPr>
  </w:style>
  <w:style w:type="paragraph" w:styleId="Heading3">
    <w:name w:val="heading 3"/>
    <w:basedOn w:val="Normal"/>
    <w:uiPriority w:val="9"/>
    <w:unhideWhenUsed/>
    <w:qFormat/>
    <w:pPr>
      <w:ind w:left="890" w:hanging="774"/>
      <w:outlineLvl w:val="2"/>
    </w:pPr>
    <w:rPr>
      <w:b/>
      <w:bCs/>
      <w:sz w:val="21"/>
      <w:szCs w:val="21"/>
    </w:rPr>
  </w:style>
  <w:style w:type="paragraph" w:styleId="Heading4">
    <w:name w:val="heading 4"/>
    <w:basedOn w:val="Normal"/>
    <w:uiPriority w:val="9"/>
    <w:unhideWhenUsed/>
    <w:qFormat/>
    <w:pPr>
      <w:ind w:left="968" w:hanging="721"/>
      <w:outlineLvl w:val="3"/>
    </w:pPr>
    <w:rPr>
      <w:rFonts w:ascii="TimesNewRomanPS-BoldItalicMT" w:eastAsia="TimesNewRomanPS-BoldItalicMT" w:hAnsi="TimesNewRomanPS-BoldItalicMT" w:cs="TimesNewRomanPS-BoldItalicMT"/>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387" w:right="396" w:hanging="1"/>
      <w:jc w:val="center"/>
    </w:pPr>
    <w:rPr>
      <w:b/>
      <w:bCs/>
      <w:sz w:val="26"/>
      <w:szCs w:val="26"/>
    </w:rPr>
  </w:style>
  <w:style w:type="paragraph" w:styleId="ListParagraph">
    <w:name w:val="List Paragraph"/>
    <w:basedOn w:val="Normal"/>
    <w:uiPriority w:val="1"/>
    <w:qFormat/>
    <w:pPr>
      <w:ind w:left="1328" w:hanging="360"/>
    </w:pPr>
  </w:style>
  <w:style w:type="paragraph" w:customStyle="1" w:styleId="TableParagraph">
    <w:name w:val="Table Paragraph"/>
    <w:basedOn w:val="Normal"/>
    <w:uiPriority w:val="1"/>
    <w:qFormat/>
  </w:style>
  <w:style w:type="paragraph" w:styleId="Revision">
    <w:name w:val="Revision"/>
    <w:hidden/>
    <w:uiPriority w:val="99"/>
    <w:semiHidden/>
    <w:rsid w:val="00A3252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E32C0"/>
    <w:rPr>
      <w:sz w:val="16"/>
      <w:szCs w:val="16"/>
    </w:rPr>
  </w:style>
  <w:style w:type="paragraph" w:styleId="CommentText">
    <w:name w:val="annotation text"/>
    <w:basedOn w:val="Normal"/>
    <w:link w:val="CommentTextChar"/>
    <w:uiPriority w:val="99"/>
    <w:unhideWhenUsed/>
    <w:rsid w:val="007E32C0"/>
    <w:rPr>
      <w:sz w:val="20"/>
      <w:szCs w:val="20"/>
    </w:rPr>
  </w:style>
  <w:style w:type="character" w:customStyle="1" w:styleId="CommentTextChar">
    <w:name w:val="Comment Text Char"/>
    <w:basedOn w:val="DefaultParagraphFont"/>
    <w:link w:val="CommentText"/>
    <w:uiPriority w:val="99"/>
    <w:rsid w:val="007E32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2C0"/>
    <w:rPr>
      <w:b/>
      <w:bCs/>
    </w:rPr>
  </w:style>
  <w:style w:type="character" w:customStyle="1" w:styleId="CommentSubjectChar">
    <w:name w:val="Comment Subject Char"/>
    <w:basedOn w:val="CommentTextChar"/>
    <w:link w:val="CommentSubject"/>
    <w:uiPriority w:val="99"/>
    <w:semiHidden/>
    <w:rsid w:val="007E32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2173"/>
    <w:rPr>
      <w:color w:val="0000FF" w:themeColor="hyperlink"/>
      <w:u w:val="single"/>
    </w:rPr>
  </w:style>
  <w:style w:type="character" w:styleId="UnresolvedMention">
    <w:name w:val="Unresolved Mention"/>
    <w:basedOn w:val="DefaultParagraphFont"/>
    <w:uiPriority w:val="99"/>
    <w:semiHidden/>
    <w:unhideWhenUsed/>
    <w:rsid w:val="00A32173"/>
    <w:rPr>
      <w:color w:val="605E5C"/>
      <w:shd w:val="clear" w:color="auto" w:fill="E1DFDD"/>
    </w:rPr>
  </w:style>
  <w:style w:type="character" w:customStyle="1" w:styleId="BodyTextChar">
    <w:name w:val="Body Text Char"/>
    <w:basedOn w:val="DefaultParagraphFont"/>
    <w:link w:val="BodyText"/>
    <w:uiPriority w:val="1"/>
    <w:rsid w:val="00861D3F"/>
    <w:rPr>
      <w:rFonts w:ascii="Times New Roman" w:eastAsia="Times New Roman" w:hAnsi="Times New Roman" w:cs="Times New Roman"/>
      <w:sz w:val="21"/>
      <w:szCs w:val="21"/>
    </w:rPr>
  </w:style>
  <w:style w:type="paragraph" w:styleId="Footer">
    <w:name w:val="footer"/>
    <w:basedOn w:val="Normal"/>
    <w:uiPriority w:val="99"/>
    <w:unhideWhenUsed/>
    <w:rsid w:val="5AF23255"/>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PageNumber">
    <w:name w:val="page number"/>
    <w:basedOn w:val="DefaultParagraphFont"/>
    <w:uiPriority w:val="99"/>
    <w:semiHidden/>
    <w:unhideWhenUsed/>
    <w:rsid w:val="00273B3C"/>
  </w:style>
  <w:style w:type="paragraph" w:customStyle="1" w:styleId="paragraph">
    <w:name w:val="paragraph"/>
    <w:basedOn w:val="Normal"/>
    <w:rsid w:val="00D52B76"/>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52B76"/>
  </w:style>
  <w:style w:type="character" w:customStyle="1" w:styleId="eop">
    <w:name w:val="eop"/>
    <w:basedOn w:val="DefaultParagraphFont"/>
    <w:rsid w:val="00D52B76"/>
  </w:style>
  <w:style w:type="character" w:styleId="Strong">
    <w:name w:val="Strong"/>
    <w:basedOn w:val="DefaultParagraphFont"/>
    <w:uiPriority w:val="22"/>
    <w:qFormat/>
    <w:rsid w:val="008A5240"/>
    <w:rPr>
      <w:b/>
      <w:bCs/>
    </w:rPr>
  </w:style>
  <w:style w:type="paragraph" w:styleId="NormalWeb">
    <w:name w:val="Normal (Web)"/>
    <w:basedOn w:val="Normal"/>
    <w:uiPriority w:val="99"/>
    <w:unhideWhenUsed/>
    <w:rsid w:val="00904095"/>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6F3360"/>
  </w:style>
  <w:style w:type="character" w:styleId="FollowedHyperlink">
    <w:name w:val="FollowedHyperlink"/>
    <w:basedOn w:val="DefaultParagraphFont"/>
    <w:uiPriority w:val="99"/>
    <w:semiHidden/>
    <w:unhideWhenUsed/>
    <w:rsid w:val="00CF4E61"/>
    <w:rPr>
      <w:color w:val="800080" w:themeColor="followedHyperlink"/>
      <w:u w:val="single"/>
    </w:rPr>
  </w:style>
  <w:style w:type="paragraph" w:customStyle="1" w:styleId="p1">
    <w:name w:val="p1"/>
    <w:basedOn w:val="Normal"/>
    <w:rsid w:val="00CF4E61"/>
    <w:pPr>
      <w:widowControl/>
      <w:autoSpaceDE/>
      <w:autoSpaceDN/>
    </w:pPr>
    <w:rPr>
      <w:rFonts w:ascii="Tw Cen MT" w:hAnsi="Tw Cen MT"/>
      <w:color w:val="14141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1039">
      <w:bodyDiv w:val="1"/>
      <w:marLeft w:val="0"/>
      <w:marRight w:val="0"/>
      <w:marTop w:val="0"/>
      <w:marBottom w:val="0"/>
      <w:divBdr>
        <w:top w:val="none" w:sz="0" w:space="0" w:color="auto"/>
        <w:left w:val="none" w:sz="0" w:space="0" w:color="auto"/>
        <w:bottom w:val="none" w:sz="0" w:space="0" w:color="auto"/>
        <w:right w:val="none" w:sz="0" w:space="0" w:color="auto"/>
      </w:divBdr>
      <w:divsChild>
        <w:div w:id="1434592457">
          <w:marLeft w:val="0"/>
          <w:marRight w:val="0"/>
          <w:marTop w:val="0"/>
          <w:marBottom w:val="0"/>
          <w:divBdr>
            <w:top w:val="none" w:sz="0" w:space="0" w:color="auto"/>
            <w:left w:val="none" w:sz="0" w:space="0" w:color="auto"/>
            <w:bottom w:val="none" w:sz="0" w:space="0" w:color="auto"/>
            <w:right w:val="none" w:sz="0" w:space="0" w:color="auto"/>
          </w:divBdr>
        </w:div>
        <w:div w:id="1022365607">
          <w:marLeft w:val="0"/>
          <w:marRight w:val="0"/>
          <w:marTop w:val="0"/>
          <w:marBottom w:val="0"/>
          <w:divBdr>
            <w:top w:val="none" w:sz="0" w:space="0" w:color="auto"/>
            <w:left w:val="none" w:sz="0" w:space="0" w:color="auto"/>
            <w:bottom w:val="none" w:sz="0" w:space="0" w:color="auto"/>
            <w:right w:val="none" w:sz="0" w:space="0" w:color="auto"/>
          </w:divBdr>
        </w:div>
      </w:divsChild>
    </w:div>
    <w:div w:id="337853980">
      <w:bodyDiv w:val="1"/>
      <w:marLeft w:val="0"/>
      <w:marRight w:val="0"/>
      <w:marTop w:val="0"/>
      <w:marBottom w:val="0"/>
      <w:divBdr>
        <w:top w:val="none" w:sz="0" w:space="0" w:color="auto"/>
        <w:left w:val="none" w:sz="0" w:space="0" w:color="auto"/>
        <w:bottom w:val="none" w:sz="0" w:space="0" w:color="auto"/>
        <w:right w:val="none" w:sz="0" w:space="0" w:color="auto"/>
      </w:divBdr>
    </w:div>
    <w:div w:id="449714003">
      <w:bodyDiv w:val="1"/>
      <w:marLeft w:val="0"/>
      <w:marRight w:val="0"/>
      <w:marTop w:val="0"/>
      <w:marBottom w:val="0"/>
      <w:divBdr>
        <w:top w:val="none" w:sz="0" w:space="0" w:color="auto"/>
        <w:left w:val="none" w:sz="0" w:space="0" w:color="auto"/>
        <w:bottom w:val="none" w:sz="0" w:space="0" w:color="auto"/>
        <w:right w:val="none" w:sz="0" w:space="0" w:color="auto"/>
      </w:divBdr>
    </w:div>
    <w:div w:id="544218651">
      <w:bodyDiv w:val="1"/>
      <w:marLeft w:val="0"/>
      <w:marRight w:val="0"/>
      <w:marTop w:val="0"/>
      <w:marBottom w:val="0"/>
      <w:divBdr>
        <w:top w:val="none" w:sz="0" w:space="0" w:color="auto"/>
        <w:left w:val="none" w:sz="0" w:space="0" w:color="auto"/>
        <w:bottom w:val="none" w:sz="0" w:space="0" w:color="auto"/>
        <w:right w:val="none" w:sz="0" w:space="0" w:color="auto"/>
      </w:divBdr>
      <w:divsChild>
        <w:div w:id="95486529">
          <w:marLeft w:val="0"/>
          <w:marRight w:val="0"/>
          <w:marTop w:val="0"/>
          <w:marBottom w:val="0"/>
          <w:divBdr>
            <w:top w:val="none" w:sz="0" w:space="0" w:color="auto"/>
            <w:left w:val="none" w:sz="0" w:space="0" w:color="auto"/>
            <w:bottom w:val="none" w:sz="0" w:space="0" w:color="auto"/>
            <w:right w:val="none" w:sz="0" w:space="0" w:color="auto"/>
          </w:divBdr>
          <w:divsChild>
            <w:div w:id="749734067">
              <w:marLeft w:val="0"/>
              <w:marRight w:val="0"/>
              <w:marTop w:val="0"/>
              <w:marBottom w:val="0"/>
              <w:divBdr>
                <w:top w:val="none" w:sz="0" w:space="0" w:color="auto"/>
                <w:left w:val="none" w:sz="0" w:space="0" w:color="auto"/>
                <w:bottom w:val="none" w:sz="0" w:space="0" w:color="auto"/>
                <w:right w:val="none" w:sz="0" w:space="0" w:color="auto"/>
              </w:divBdr>
            </w:div>
            <w:div w:id="1094591646">
              <w:marLeft w:val="0"/>
              <w:marRight w:val="0"/>
              <w:marTop w:val="0"/>
              <w:marBottom w:val="0"/>
              <w:divBdr>
                <w:top w:val="none" w:sz="0" w:space="0" w:color="auto"/>
                <w:left w:val="none" w:sz="0" w:space="0" w:color="auto"/>
                <w:bottom w:val="none" w:sz="0" w:space="0" w:color="auto"/>
                <w:right w:val="none" w:sz="0" w:space="0" w:color="auto"/>
              </w:divBdr>
            </w:div>
            <w:div w:id="1657371526">
              <w:marLeft w:val="0"/>
              <w:marRight w:val="0"/>
              <w:marTop w:val="0"/>
              <w:marBottom w:val="0"/>
              <w:divBdr>
                <w:top w:val="none" w:sz="0" w:space="0" w:color="auto"/>
                <w:left w:val="none" w:sz="0" w:space="0" w:color="auto"/>
                <w:bottom w:val="none" w:sz="0" w:space="0" w:color="auto"/>
                <w:right w:val="none" w:sz="0" w:space="0" w:color="auto"/>
              </w:divBdr>
            </w:div>
            <w:div w:id="1645968391">
              <w:marLeft w:val="0"/>
              <w:marRight w:val="0"/>
              <w:marTop w:val="0"/>
              <w:marBottom w:val="0"/>
              <w:divBdr>
                <w:top w:val="none" w:sz="0" w:space="0" w:color="auto"/>
                <w:left w:val="none" w:sz="0" w:space="0" w:color="auto"/>
                <w:bottom w:val="none" w:sz="0" w:space="0" w:color="auto"/>
                <w:right w:val="none" w:sz="0" w:space="0" w:color="auto"/>
              </w:divBdr>
            </w:div>
            <w:div w:id="373849469">
              <w:marLeft w:val="0"/>
              <w:marRight w:val="0"/>
              <w:marTop w:val="0"/>
              <w:marBottom w:val="0"/>
              <w:divBdr>
                <w:top w:val="none" w:sz="0" w:space="0" w:color="auto"/>
                <w:left w:val="none" w:sz="0" w:space="0" w:color="auto"/>
                <w:bottom w:val="none" w:sz="0" w:space="0" w:color="auto"/>
                <w:right w:val="none" w:sz="0" w:space="0" w:color="auto"/>
              </w:divBdr>
            </w:div>
            <w:div w:id="1476799870">
              <w:marLeft w:val="0"/>
              <w:marRight w:val="0"/>
              <w:marTop w:val="0"/>
              <w:marBottom w:val="0"/>
              <w:divBdr>
                <w:top w:val="none" w:sz="0" w:space="0" w:color="auto"/>
                <w:left w:val="none" w:sz="0" w:space="0" w:color="auto"/>
                <w:bottom w:val="none" w:sz="0" w:space="0" w:color="auto"/>
                <w:right w:val="none" w:sz="0" w:space="0" w:color="auto"/>
              </w:divBdr>
            </w:div>
            <w:div w:id="1596354214">
              <w:marLeft w:val="0"/>
              <w:marRight w:val="0"/>
              <w:marTop w:val="0"/>
              <w:marBottom w:val="0"/>
              <w:divBdr>
                <w:top w:val="none" w:sz="0" w:space="0" w:color="auto"/>
                <w:left w:val="none" w:sz="0" w:space="0" w:color="auto"/>
                <w:bottom w:val="none" w:sz="0" w:space="0" w:color="auto"/>
                <w:right w:val="none" w:sz="0" w:space="0" w:color="auto"/>
              </w:divBdr>
            </w:div>
            <w:div w:id="2014919559">
              <w:marLeft w:val="0"/>
              <w:marRight w:val="0"/>
              <w:marTop w:val="0"/>
              <w:marBottom w:val="0"/>
              <w:divBdr>
                <w:top w:val="none" w:sz="0" w:space="0" w:color="auto"/>
                <w:left w:val="none" w:sz="0" w:space="0" w:color="auto"/>
                <w:bottom w:val="none" w:sz="0" w:space="0" w:color="auto"/>
                <w:right w:val="none" w:sz="0" w:space="0" w:color="auto"/>
              </w:divBdr>
            </w:div>
            <w:div w:id="846288233">
              <w:marLeft w:val="0"/>
              <w:marRight w:val="0"/>
              <w:marTop w:val="0"/>
              <w:marBottom w:val="0"/>
              <w:divBdr>
                <w:top w:val="none" w:sz="0" w:space="0" w:color="auto"/>
                <w:left w:val="none" w:sz="0" w:space="0" w:color="auto"/>
                <w:bottom w:val="none" w:sz="0" w:space="0" w:color="auto"/>
                <w:right w:val="none" w:sz="0" w:space="0" w:color="auto"/>
              </w:divBdr>
            </w:div>
            <w:div w:id="1574655516">
              <w:marLeft w:val="0"/>
              <w:marRight w:val="0"/>
              <w:marTop w:val="0"/>
              <w:marBottom w:val="0"/>
              <w:divBdr>
                <w:top w:val="none" w:sz="0" w:space="0" w:color="auto"/>
                <w:left w:val="none" w:sz="0" w:space="0" w:color="auto"/>
                <w:bottom w:val="none" w:sz="0" w:space="0" w:color="auto"/>
                <w:right w:val="none" w:sz="0" w:space="0" w:color="auto"/>
              </w:divBdr>
            </w:div>
            <w:div w:id="1808088006">
              <w:marLeft w:val="0"/>
              <w:marRight w:val="0"/>
              <w:marTop w:val="0"/>
              <w:marBottom w:val="0"/>
              <w:divBdr>
                <w:top w:val="none" w:sz="0" w:space="0" w:color="auto"/>
                <w:left w:val="none" w:sz="0" w:space="0" w:color="auto"/>
                <w:bottom w:val="none" w:sz="0" w:space="0" w:color="auto"/>
                <w:right w:val="none" w:sz="0" w:space="0" w:color="auto"/>
              </w:divBdr>
            </w:div>
            <w:div w:id="502939687">
              <w:marLeft w:val="0"/>
              <w:marRight w:val="0"/>
              <w:marTop w:val="0"/>
              <w:marBottom w:val="0"/>
              <w:divBdr>
                <w:top w:val="none" w:sz="0" w:space="0" w:color="auto"/>
                <w:left w:val="none" w:sz="0" w:space="0" w:color="auto"/>
                <w:bottom w:val="none" w:sz="0" w:space="0" w:color="auto"/>
                <w:right w:val="none" w:sz="0" w:space="0" w:color="auto"/>
              </w:divBdr>
            </w:div>
            <w:div w:id="548997425">
              <w:marLeft w:val="0"/>
              <w:marRight w:val="0"/>
              <w:marTop w:val="0"/>
              <w:marBottom w:val="0"/>
              <w:divBdr>
                <w:top w:val="none" w:sz="0" w:space="0" w:color="auto"/>
                <w:left w:val="none" w:sz="0" w:space="0" w:color="auto"/>
                <w:bottom w:val="none" w:sz="0" w:space="0" w:color="auto"/>
                <w:right w:val="none" w:sz="0" w:space="0" w:color="auto"/>
              </w:divBdr>
            </w:div>
            <w:div w:id="1449156818">
              <w:marLeft w:val="0"/>
              <w:marRight w:val="0"/>
              <w:marTop w:val="0"/>
              <w:marBottom w:val="0"/>
              <w:divBdr>
                <w:top w:val="none" w:sz="0" w:space="0" w:color="auto"/>
                <w:left w:val="none" w:sz="0" w:space="0" w:color="auto"/>
                <w:bottom w:val="none" w:sz="0" w:space="0" w:color="auto"/>
                <w:right w:val="none" w:sz="0" w:space="0" w:color="auto"/>
              </w:divBdr>
            </w:div>
            <w:div w:id="1480800340">
              <w:marLeft w:val="0"/>
              <w:marRight w:val="0"/>
              <w:marTop w:val="0"/>
              <w:marBottom w:val="0"/>
              <w:divBdr>
                <w:top w:val="none" w:sz="0" w:space="0" w:color="auto"/>
                <w:left w:val="none" w:sz="0" w:space="0" w:color="auto"/>
                <w:bottom w:val="none" w:sz="0" w:space="0" w:color="auto"/>
                <w:right w:val="none" w:sz="0" w:space="0" w:color="auto"/>
              </w:divBdr>
            </w:div>
            <w:div w:id="1060833315">
              <w:marLeft w:val="0"/>
              <w:marRight w:val="0"/>
              <w:marTop w:val="0"/>
              <w:marBottom w:val="0"/>
              <w:divBdr>
                <w:top w:val="none" w:sz="0" w:space="0" w:color="auto"/>
                <w:left w:val="none" w:sz="0" w:space="0" w:color="auto"/>
                <w:bottom w:val="none" w:sz="0" w:space="0" w:color="auto"/>
                <w:right w:val="none" w:sz="0" w:space="0" w:color="auto"/>
              </w:divBdr>
            </w:div>
            <w:div w:id="546645886">
              <w:marLeft w:val="0"/>
              <w:marRight w:val="0"/>
              <w:marTop w:val="0"/>
              <w:marBottom w:val="0"/>
              <w:divBdr>
                <w:top w:val="none" w:sz="0" w:space="0" w:color="auto"/>
                <w:left w:val="none" w:sz="0" w:space="0" w:color="auto"/>
                <w:bottom w:val="none" w:sz="0" w:space="0" w:color="auto"/>
                <w:right w:val="none" w:sz="0" w:space="0" w:color="auto"/>
              </w:divBdr>
            </w:div>
            <w:div w:id="2039234805">
              <w:marLeft w:val="0"/>
              <w:marRight w:val="0"/>
              <w:marTop w:val="0"/>
              <w:marBottom w:val="0"/>
              <w:divBdr>
                <w:top w:val="none" w:sz="0" w:space="0" w:color="auto"/>
                <w:left w:val="none" w:sz="0" w:space="0" w:color="auto"/>
                <w:bottom w:val="none" w:sz="0" w:space="0" w:color="auto"/>
                <w:right w:val="none" w:sz="0" w:space="0" w:color="auto"/>
              </w:divBdr>
            </w:div>
            <w:div w:id="53479022">
              <w:marLeft w:val="0"/>
              <w:marRight w:val="0"/>
              <w:marTop w:val="0"/>
              <w:marBottom w:val="0"/>
              <w:divBdr>
                <w:top w:val="none" w:sz="0" w:space="0" w:color="auto"/>
                <w:left w:val="none" w:sz="0" w:space="0" w:color="auto"/>
                <w:bottom w:val="none" w:sz="0" w:space="0" w:color="auto"/>
                <w:right w:val="none" w:sz="0" w:space="0" w:color="auto"/>
              </w:divBdr>
            </w:div>
            <w:div w:id="1711304018">
              <w:marLeft w:val="0"/>
              <w:marRight w:val="0"/>
              <w:marTop w:val="0"/>
              <w:marBottom w:val="0"/>
              <w:divBdr>
                <w:top w:val="none" w:sz="0" w:space="0" w:color="auto"/>
                <w:left w:val="none" w:sz="0" w:space="0" w:color="auto"/>
                <w:bottom w:val="none" w:sz="0" w:space="0" w:color="auto"/>
                <w:right w:val="none" w:sz="0" w:space="0" w:color="auto"/>
              </w:divBdr>
            </w:div>
          </w:divsChild>
        </w:div>
        <w:div w:id="236942807">
          <w:marLeft w:val="0"/>
          <w:marRight w:val="0"/>
          <w:marTop w:val="0"/>
          <w:marBottom w:val="0"/>
          <w:divBdr>
            <w:top w:val="none" w:sz="0" w:space="0" w:color="auto"/>
            <w:left w:val="none" w:sz="0" w:space="0" w:color="auto"/>
            <w:bottom w:val="none" w:sz="0" w:space="0" w:color="auto"/>
            <w:right w:val="none" w:sz="0" w:space="0" w:color="auto"/>
          </w:divBdr>
          <w:divsChild>
            <w:div w:id="1060590665">
              <w:marLeft w:val="0"/>
              <w:marRight w:val="0"/>
              <w:marTop w:val="0"/>
              <w:marBottom w:val="0"/>
              <w:divBdr>
                <w:top w:val="none" w:sz="0" w:space="0" w:color="auto"/>
                <w:left w:val="none" w:sz="0" w:space="0" w:color="auto"/>
                <w:bottom w:val="none" w:sz="0" w:space="0" w:color="auto"/>
                <w:right w:val="none" w:sz="0" w:space="0" w:color="auto"/>
              </w:divBdr>
            </w:div>
            <w:div w:id="1337803304">
              <w:marLeft w:val="0"/>
              <w:marRight w:val="0"/>
              <w:marTop w:val="0"/>
              <w:marBottom w:val="0"/>
              <w:divBdr>
                <w:top w:val="none" w:sz="0" w:space="0" w:color="auto"/>
                <w:left w:val="none" w:sz="0" w:space="0" w:color="auto"/>
                <w:bottom w:val="none" w:sz="0" w:space="0" w:color="auto"/>
                <w:right w:val="none" w:sz="0" w:space="0" w:color="auto"/>
              </w:divBdr>
            </w:div>
            <w:div w:id="1188985185">
              <w:marLeft w:val="0"/>
              <w:marRight w:val="0"/>
              <w:marTop w:val="0"/>
              <w:marBottom w:val="0"/>
              <w:divBdr>
                <w:top w:val="none" w:sz="0" w:space="0" w:color="auto"/>
                <w:left w:val="none" w:sz="0" w:space="0" w:color="auto"/>
                <w:bottom w:val="none" w:sz="0" w:space="0" w:color="auto"/>
                <w:right w:val="none" w:sz="0" w:space="0" w:color="auto"/>
              </w:divBdr>
            </w:div>
            <w:div w:id="520627480">
              <w:marLeft w:val="0"/>
              <w:marRight w:val="0"/>
              <w:marTop w:val="0"/>
              <w:marBottom w:val="0"/>
              <w:divBdr>
                <w:top w:val="none" w:sz="0" w:space="0" w:color="auto"/>
                <w:left w:val="none" w:sz="0" w:space="0" w:color="auto"/>
                <w:bottom w:val="none" w:sz="0" w:space="0" w:color="auto"/>
                <w:right w:val="none" w:sz="0" w:space="0" w:color="auto"/>
              </w:divBdr>
            </w:div>
            <w:div w:id="238291823">
              <w:marLeft w:val="0"/>
              <w:marRight w:val="0"/>
              <w:marTop w:val="0"/>
              <w:marBottom w:val="0"/>
              <w:divBdr>
                <w:top w:val="none" w:sz="0" w:space="0" w:color="auto"/>
                <w:left w:val="none" w:sz="0" w:space="0" w:color="auto"/>
                <w:bottom w:val="none" w:sz="0" w:space="0" w:color="auto"/>
                <w:right w:val="none" w:sz="0" w:space="0" w:color="auto"/>
              </w:divBdr>
            </w:div>
            <w:div w:id="183135160">
              <w:marLeft w:val="0"/>
              <w:marRight w:val="0"/>
              <w:marTop w:val="0"/>
              <w:marBottom w:val="0"/>
              <w:divBdr>
                <w:top w:val="none" w:sz="0" w:space="0" w:color="auto"/>
                <w:left w:val="none" w:sz="0" w:space="0" w:color="auto"/>
                <w:bottom w:val="none" w:sz="0" w:space="0" w:color="auto"/>
                <w:right w:val="none" w:sz="0" w:space="0" w:color="auto"/>
              </w:divBdr>
            </w:div>
            <w:div w:id="19665260">
              <w:marLeft w:val="0"/>
              <w:marRight w:val="0"/>
              <w:marTop w:val="0"/>
              <w:marBottom w:val="0"/>
              <w:divBdr>
                <w:top w:val="none" w:sz="0" w:space="0" w:color="auto"/>
                <w:left w:val="none" w:sz="0" w:space="0" w:color="auto"/>
                <w:bottom w:val="none" w:sz="0" w:space="0" w:color="auto"/>
                <w:right w:val="none" w:sz="0" w:space="0" w:color="auto"/>
              </w:divBdr>
            </w:div>
            <w:div w:id="1181160732">
              <w:marLeft w:val="0"/>
              <w:marRight w:val="0"/>
              <w:marTop w:val="0"/>
              <w:marBottom w:val="0"/>
              <w:divBdr>
                <w:top w:val="none" w:sz="0" w:space="0" w:color="auto"/>
                <w:left w:val="none" w:sz="0" w:space="0" w:color="auto"/>
                <w:bottom w:val="none" w:sz="0" w:space="0" w:color="auto"/>
                <w:right w:val="none" w:sz="0" w:space="0" w:color="auto"/>
              </w:divBdr>
            </w:div>
            <w:div w:id="298465319">
              <w:marLeft w:val="0"/>
              <w:marRight w:val="0"/>
              <w:marTop w:val="0"/>
              <w:marBottom w:val="0"/>
              <w:divBdr>
                <w:top w:val="none" w:sz="0" w:space="0" w:color="auto"/>
                <w:left w:val="none" w:sz="0" w:space="0" w:color="auto"/>
                <w:bottom w:val="none" w:sz="0" w:space="0" w:color="auto"/>
                <w:right w:val="none" w:sz="0" w:space="0" w:color="auto"/>
              </w:divBdr>
            </w:div>
            <w:div w:id="420376795">
              <w:marLeft w:val="0"/>
              <w:marRight w:val="0"/>
              <w:marTop w:val="0"/>
              <w:marBottom w:val="0"/>
              <w:divBdr>
                <w:top w:val="none" w:sz="0" w:space="0" w:color="auto"/>
                <w:left w:val="none" w:sz="0" w:space="0" w:color="auto"/>
                <w:bottom w:val="none" w:sz="0" w:space="0" w:color="auto"/>
                <w:right w:val="none" w:sz="0" w:space="0" w:color="auto"/>
              </w:divBdr>
            </w:div>
            <w:div w:id="1021854499">
              <w:marLeft w:val="0"/>
              <w:marRight w:val="0"/>
              <w:marTop w:val="0"/>
              <w:marBottom w:val="0"/>
              <w:divBdr>
                <w:top w:val="none" w:sz="0" w:space="0" w:color="auto"/>
                <w:left w:val="none" w:sz="0" w:space="0" w:color="auto"/>
                <w:bottom w:val="none" w:sz="0" w:space="0" w:color="auto"/>
                <w:right w:val="none" w:sz="0" w:space="0" w:color="auto"/>
              </w:divBdr>
            </w:div>
            <w:div w:id="871649181">
              <w:marLeft w:val="0"/>
              <w:marRight w:val="0"/>
              <w:marTop w:val="0"/>
              <w:marBottom w:val="0"/>
              <w:divBdr>
                <w:top w:val="none" w:sz="0" w:space="0" w:color="auto"/>
                <w:left w:val="none" w:sz="0" w:space="0" w:color="auto"/>
                <w:bottom w:val="none" w:sz="0" w:space="0" w:color="auto"/>
                <w:right w:val="none" w:sz="0" w:space="0" w:color="auto"/>
              </w:divBdr>
            </w:div>
            <w:div w:id="320431242">
              <w:marLeft w:val="0"/>
              <w:marRight w:val="0"/>
              <w:marTop w:val="0"/>
              <w:marBottom w:val="0"/>
              <w:divBdr>
                <w:top w:val="none" w:sz="0" w:space="0" w:color="auto"/>
                <w:left w:val="none" w:sz="0" w:space="0" w:color="auto"/>
                <w:bottom w:val="none" w:sz="0" w:space="0" w:color="auto"/>
                <w:right w:val="none" w:sz="0" w:space="0" w:color="auto"/>
              </w:divBdr>
            </w:div>
            <w:div w:id="1884822779">
              <w:marLeft w:val="0"/>
              <w:marRight w:val="0"/>
              <w:marTop w:val="0"/>
              <w:marBottom w:val="0"/>
              <w:divBdr>
                <w:top w:val="none" w:sz="0" w:space="0" w:color="auto"/>
                <w:left w:val="none" w:sz="0" w:space="0" w:color="auto"/>
                <w:bottom w:val="none" w:sz="0" w:space="0" w:color="auto"/>
                <w:right w:val="none" w:sz="0" w:space="0" w:color="auto"/>
              </w:divBdr>
            </w:div>
            <w:div w:id="346447114">
              <w:marLeft w:val="0"/>
              <w:marRight w:val="0"/>
              <w:marTop w:val="0"/>
              <w:marBottom w:val="0"/>
              <w:divBdr>
                <w:top w:val="none" w:sz="0" w:space="0" w:color="auto"/>
                <w:left w:val="none" w:sz="0" w:space="0" w:color="auto"/>
                <w:bottom w:val="none" w:sz="0" w:space="0" w:color="auto"/>
                <w:right w:val="none" w:sz="0" w:space="0" w:color="auto"/>
              </w:divBdr>
            </w:div>
            <w:div w:id="1587419300">
              <w:marLeft w:val="0"/>
              <w:marRight w:val="0"/>
              <w:marTop w:val="0"/>
              <w:marBottom w:val="0"/>
              <w:divBdr>
                <w:top w:val="none" w:sz="0" w:space="0" w:color="auto"/>
                <w:left w:val="none" w:sz="0" w:space="0" w:color="auto"/>
                <w:bottom w:val="none" w:sz="0" w:space="0" w:color="auto"/>
                <w:right w:val="none" w:sz="0" w:space="0" w:color="auto"/>
              </w:divBdr>
            </w:div>
            <w:div w:id="820345742">
              <w:marLeft w:val="0"/>
              <w:marRight w:val="0"/>
              <w:marTop w:val="0"/>
              <w:marBottom w:val="0"/>
              <w:divBdr>
                <w:top w:val="none" w:sz="0" w:space="0" w:color="auto"/>
                <w:left w:val="none" w:sz="0" w:space="0" w:color="auto"/>
                <w:bottom w:val="none" w:sz="0" w:space="0" w:color="auto"/>
                <w:right w:val="none" w:sz="0" w:space="0" w:color="auto"/>
              </w:divBdr>
            </w:div>
            <w:div w:id="1502507436">
              <w:marLeft w:val="0"/>
              <w:marRight w:val="0"/>
              <w:marTop w:val="0"/>
              <w:marBottom w:val="0"/>
              <w:divBdr>
                <w:top w:val="none" w:sz="0" w:space="0" w:color="auto"/>
                <w:left w:val="none" w:sz="0" w:space="0" w:color="auto"/>
                <w:bottom w:val="none" w:sz="0" w:space="0" w:color="auto"/>
                <w:right w:val="none" w:sz="0" w:space="0" w:color="auto"/>
              </w:divBdr>
            </w:div>
            <w:div w:id="2003849860">
              <w:marLeft w:val="0"/>
              <w:marRight w:val="0"/>
              <w:marTop w:val="0"/>
              <w:marBottom w:val="0"/>
              <w:divBdr>
                <w:top w:val="none" w:sz="0" w:space="0" w:color="auto"/>
                <w:left w:val="none" w:sz="0" w:space="0" w:color="auto"/>
                <w:bottom w:val="none" w:sz="0" w:space="0" w:color="auto"/>
                <w:right w:val="none" w:sz="0" w:space="0" w:color="auto"/>
              </w:divBdr>
            </w:div>
            <w:div w:id="1150757077">
              <w:marLeft w:val="0"/>
              <w:marRight w:val="0"/>
              <w:marTop w:val="0"/>
              <w:marBottom w:val="0"/>
              <w:divBdr>
                <w:top w:val="none" w:sz="0" w:space="0" w:color="auto"/>
                <w:left w:val="none" w:sz="0" w:space="0" w:color="auto"/>
                <w:bottom w:val="none" w:sz="0" w:space="0" w:color="auto"/>
                <w:right w:val="none" w:sz="0" w:space="0" w:color="auto"/>
              </w:divBdr>
            </w:div>
          </w:divsChild>
        </w:div>
        <w:div w:id="1635135459">
          <w:marLeft w:val="0"/>
          <w:marRight w:val="0"/>
          <w:marTop w:val="0"/>
          <w:marBottom w:val="0"/>
          <w:divBdr>
            <w:top w:val="none" w:sz="0" w:space="0" w:color="auto"/>
            <w:left w:val="none" w:sz="0" w:space="0" w:color="auto"/>
            <w:bottom w:val="none" w:sz="0" w:space="0" w:color="auto"/>
            <w:right w:val="none" w:sz="0" w:space="0" w:color="auto"/>
          </w:divBdr>
          <w:divsChild>
            <w:div w:id="838620435">
              <w:marLeft w:val="0"/>
              <w:marRight w:val="0"/>
              <w:marTop w:val="0"/>
              <w:marBottom w:val="0"/>
              <w:divBdr>
                <w:top w:val="none" w:sz="0" w:space="0" w:color="auto"/>
                <w:left w:val="none" w:sz="0" w:space="0" w:color="auto"/>
                <w:bottom w:val="none" w:sz="0" w:space="0" w:color="auto"/>
                <w:right w:val="none" w:sz="0" w:space="0" w:color="auto"/>
              </w:divBdr>
            </w:div>
            <w:div w:id="716321947">
              <w:marLeft w:val="0"/>
              <w:marRight w:val="0"/>
              <w:marTop w:val="0"/>
              <w:marBottom w:val="0"/>
              <w:divBdr>
                <w:top w:val="none" w:sz="0" w:space="0" w:color="auto"/>
                <w:left w:val="none" w:sz="0" w:space="0" w:color="auto"/>
                <w:bottom w:val="none" w:sz="0" w:space="0" w:color="auto"/>
                <w:right w:val="none" w:sz="0" w:space="0" w:color="auto"/>
              </w:divBdr>
            </w:div>
            <w:div w:id="736905293">
              <w:marLeft w:val="0"/>
              <w:marRight w:val="0"/>
              <w:marTop w:val="0"/>
              <w:marBottom w:val="0"/>
              <w:divBdr>
                <w:top w:val="none" w:sz="0" w:space="0" w:color="auto"/>
                <w:left w:val="none" w:sz="0" w:space="0" w:color="auto"/>
                <w:bottom w:val="none" w:sz="0" w:space="0" w:color="auto"/>
                <w:right w:val="none" w:sz="0" w:space="0" w:color="auto"/>
              </w:divBdr>
            </w:div>
            <w:div w:id="11615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5339">
      <w:bodyDiv w:val="1"/>
      <w:marLeft w:val="0"/>
      <w:marRight w:val="0"/>
      <w:marTop w:val="0"/>
      <w:marBottom w:val="0"/>
      <w:divBdr>
        <w:top w:val="none" w:sz="0" w:space="0" w:color="auto"/>
        <w:left w:val="none" w:sz="0" w:space="0" w:color="auto"/>
        <w:bottom w:val="none" w:sz="0" w:space="0" w:color="auto"/>
        <w:right w:val="none" w:sz="0" w:space="0" w:color="auto"/>
      </w:divBdr>
    </w:div>
    <w:div w:id="904685736">
      <w:bodyDiv w:val="1"/>
      <w:marLeft w:val="0"/>
      <w:marRight w:val="0"/>
      <w:marTop w:val="0"/>
      <w:marBottom w:val="0"/>
      <w:divBdr>
        <w:top w:val="none" w:sz="0" w:space="0" w:color="auto"/>
        <w:left w:val="none" w:sz="0" w:space="0" w:color="auto"/>
        <w:bottom w:val="none" w:sz="0" w:space="0" w:color="auto"/>
        <w:right w:val="none" w:sz="0" w:space="0" w:color="auto"/>
      </w:divBdr>
    </w:div>
    <w:div w:id="968240311">
      <w:bodyDiv w:val="1"/>
      <w:marLeft w:val="0"/>
      <w:marRight w:val="0"/>
      <w:marTop w:val="0"/>
      <w:marBottom w:val="0"/>
      <w:divBdr>
        <w:top w:val="none" w:sz="0" w:space="0" w:color="auto"/>
        <w:left w:val="none" w:sz="0" w:space="0" w:color="auto"/>
        <w:bottom w:val="none" w:sz="0" w:space="0" w:color="auto"/>
        <w:right w:val="none" w:sz="0" w:space="0" w:color="auto"/>
      </w:divBdr>
      <w:divsChild>
        <w:div w:id="521626843">
          <w:marLeft w:val="0"/>
          <w:marRight w:val="0"/>
          <w:marTop w:val="0"/>
          <w:marBottom w:val="0"/>
          <w:divBdr>
            <w:top w:val="none" w:sz="0" w:space="0" w:color="auto"/>
            <w:left w:val="none" w:sz="0" w:space="0" w:color="auto"/>
            <w:bottom w:val="none" w:sz="0" w:space="0" w:color="auto"/>
            <w:right w:val="none" w:sz="0" w:space="0" w:color="auto"/>
          </w:divBdr>
          <w:divsChild>
            <w:div w:id="1017660775">
              <w:marLeft w:val="0"/>
              <w:marRight w:val="0"/>
              <w:marTop w:val="0"/>
              <w:marBottom w:val="0"/>
              <w:divBdr>
                <w:top w:val="none" w:sz="0" w:space="0" w:color="auto"/>
                <w:left w:val="none" w:sz="0" w:space="0" w:color="auto"/>
                <w:bottom w:val="none" w:sz="0" w:space="0" w:color="auto"/>
                <w:right w:val="none" w:sz="0" w:space="0" w:color="auto"/>
              </w:divBdr>
              <w:divsChild>
                <w:div w:id="1855681398">
                  <w:marLeft w:val="0"/>
                  <w:marRight w:val="0"/>
                  <w:marTop w:val="0"/>
                  <w:marBottom w:val="0"/>
                  <w:divBdr>
                    <w:top w:val="none" w:sz="0" w:space="0" w:color="auto"/>
                    <w:left w:val="none" w:sz="0" w:space="0" w:color="auto"/>
                    <w:bottom w:val="none" w:sz="0" w:space="0" w:color="auto"/>
                    <w:right w:val="none" w:sz="0" w:space="0" w:color="auto"/>
                  </w:divBdr>
                </w:div>
                <w:div w:id="4694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165">
      <w:bodyDiv w:val="1"/>
      <w:marLeft w:val="0"/>
      <w:marRight w:val="0"/>
      <w:marTop w:val="0"/>
      <w:marBottom w:val="0"/>
      <w:divBdr>
        <w:top w:val="none" w:sz="0" w:space="0" w:color="auto"/>
        <w:left w:val="none" w:sz="0" w:space="0" w:color="auto"/>
        <w:bottom w:val="none" w:sz="0" w:space="0" w:color="auto"/>
        <w:right w:val="none" w:sz="0" w:space="0" w:color="auto"/>
      </w:divBdr>
    </w:div>
    <w:div w:id="1305700066">
      <w:bodyDiv w:val="1"/>
      <w:marLeft w:val="0"/>
      <w:marRight w:val="0"/>
      <w:marTop w:val="0"/>
      <w:marBottom w:val="0"/>
      <w:divBdr>
        <w:top w:val="none" w:sz="0" w:space="0" w:color="auto"/>
        <w:left w:val="none" w:sz="0" w:space="0" w:color="auto"/>
        <w:bottom w:val="none" w:sz="0" w:space="0" w:color="auto"/>
        <w:right w:val="none" w:sz="0" w:space="0" w:color="auto"/>
      </w:divBdr>
    </w:div>
    <w:div w:id="1319730703">
      <w:bodyDiv w:val="1"/>
      <w:marLeft w:val="0"/>
      <w:marRight w:val="0"/>
      <w:marTop w:val="0"/>
      <w:marBottom w:val="0"/>
      <w:divBdr>
        <w:top w:val="none" w:sz="0" w:space="0" w:color="auto"/>
        <w:left w:val="none" w:sz="0" w:space="0" w:color="auto"/>
        <w:bottom w:val="none" w:sz="0" w:space="0" w:color="auto"/>
        <w:right w:val="none" w:sz="0" w:space="0" w:color="auto"/>
      </w:divBdr>
      <w:divsChild>
        <w:div w:id="1260722188">
          <w:marLeft w:val="0"/>
          <w:marRight w:val="0"/>
          <w:marTop w:val="0"/>
          <w:marBottom w:val="0"/>
          <w:divBdr>
            <w:top w:val="none" w:sz="0" w:space="0" w:color="auto"/>
            <w:left w:val="none" w:sz="0" w:space="0" w:color="auto"/>
            <w:bottom w:val="none" w:sz="0" w:space="0" w:color="auto"/>
            <w:right w:val="none" w:sz="0" w:space="0" w:color="auto"/>
          </w:divBdr>
          <w:divsChild>
            <w:div w:id="933366926">
              <w:marLeft w:val="0"/>
              <w:marRight w:val="0"/>
              <w:marTop w:val="0"/>
              <w:marBottom w:val="0"/>
              <w:divBdr>
                <w:top w:val="none" w:sz="0" w:space="0" w:color="auto"/>
                <w:left w:val="none" w:sz="0" w:space="0" w:color="auto"/>
                <w:bottom w:val="none" w:sz="0" w:space="0" w:color="auto"/>
                <w:right w:val="none" w:sz="0" w:space="0" w:color="auto"/>
              </w:divBdr>
            </w:div>
            <w:div w:id="585312086">
              <w:marLeft w:val="0"/>
              <w:marRight w:val="0"/>
              <w:marTop w:val="0"/>
              <w:marBottom w:val="0"/>
              <w:divBdr>
                <w:top w:val="none" w:sz="0" w:space="0" w:color="auto"/>
                <w:left w:val="none" w:sz="0" w:space="0" w:color="auto"/>
                <w:bottom w:val="none" w:sz="0" w:space="0" w:color="auto"/>
                <w:right w:val="none" w:sz="0" w:space="0" w:color="auto"/>
              </w:divBdr>
            </w:div>
            <w:div w:id="304815981">
              <w:marLeft w:val="0"/>
              <w:marRight w:val="0"/>
              <w:marTop w:val="0"/>
              <w:marBottom w:val="0"/>
              <w:divBdr>
                <w:top w:val="none" w:sz="0" w:space="0" w:color="auto"/>
                <w:left w:val="none" w:sz="0" w:space="0" w:color="auto"/>
                <w:bottom w:val="none" w:sz="0" w:space="0" w:color="auto"/>
                <w:right w:val="none" w:sz="0" w:space="0" w:color="auto"/>
              </w:divBdr>
            </w:div>
            <w:div w:id="1018576981">
              <w:marLeft w:val="0"/>
              <w:marRight w:val="0"/>
              <w:marTop w:val="0"/>
              <w:marBottom w:val="0"/>
              <w:divBdr>
                <w:top w:val="none" w:sz="0" w:space="0" w:color="auto"/>
                <w:left w:val="none" w:sz="0" w:space="0" w:color="auto"/>
                <w:bottom w:val="none" w:sz="0" w:space="0" w:color="auto"/>
                <w:right w:val="none" w:sz="0" w:space="0" w:color="auto"/>
              </w:divBdr>
            </w:div>
            <w:div w:id="605187683">
              <w:marLeft w:val="0"/>
              <w:marRight w:val="0"/>
              <w:marTop w:val="0"/>
              <w:marBottom w:val="0"/>
              <w:divBdr>
                <w:top w:val="none" w:sz="0" w:space="0" w:color="auto"/>
                <w:left w:val="none" w:sz="0" w:space="0" w:color="auto"/>
                <w:bottom w:val="none" w:sz="0" w:space="0" w:color="auto"/>
                <w:right w:val="none" w:sz="0" w:space="0" w:color="auto"/>
              </w:divBdr>
            </w:div>
            <w:div w:id="124399070">
              <w:marLeft w:val="0"/>
              <w:marRight w:val="0"/>
              <w:marTop w:val="0"/>
              <w:marBottom w:val="0"/>
              <w:divBdr>
                <w:top w:val="none" w:sz="0" w:space="0" w:color="auto"/>
                <w:left w:val="none" w:sz="0" w:space="0" w:color="auto"/>
                <w:bottom w:val="none" w:sz="0" w:space="0" w:color="auto"/>
                <w:right w:val="none" w:sz="0" w:space="0" w:color="auto"/>
              </w:divBdr>
            </w:div>
            <w:div w:id="1492135510">
              <w:marLeft w:val="0"/>
              <w:marRight w:val="0"/>
              <w:marTop w:val="0"/>
              <w:marBottom w:val="0"/>
              <w:divBdr>
                <w:top w:val="none" w:sz="0" w:space="0" w:color="auto"/>
                <w:left w:val="none" w:sz="0" w:space="0" w:color="auto"/>
                <w:bottom w:val="none" w:sz="0" w:space="0" w:color="auto"/>
                <w:right w:val="none" w:sz="0" w:space="0" w:color="auto"/>
              </w:divBdr>
            </w:div>
            <w:div w:id="678503165">
              <w:marLeft w:val="0"/>
              <w:marRight w:val="0"/>
              <w:marTop w:val="0"/>
              <w:marBottom w:val="0"/>
              <w:divBdr>
                <w:top w:val="none" w:sz="0" w:space="0" w:color="auto"/>
                <w:left w:val="none" w:sz="0" w:space="0" w:color="auto"/>
                <w:bottom w:val="none" w:sz="0" w:space="0" w:color="auto"/>
                <w:right w:val="none" w:sz="0" w:space="0" w:color="auto"/>
              </w:divBdr>
            </w:div>
            <w:div w:id="1996565742">
              <w:marLeft w:val="0"/>
              <w:marRight w:val="0"/>
              <w:marTop w:val="0"/>
              <w:marBottom w:val="0"/>
              <w:divBdr>
                <w:top w:val="none" w:sz="0" w:space="0" w:color="auto"/>
                <w:left w:val="none" w:sz="0" w:space="0" w:color="auto"/>
                <w:bottom w:val="none" w:sz="0" w:space="0" w:color="auto"/>
                <w:right w:val="none" w:sz="0" w:space="0" w:color="auto"/>
              </w:divBdr>
            </w:div>
          </w:divsChild>
        </w:div>
        <w:div w:id="7414772">
          <w:marLeft w:val="0"/>
          <w:marRight w:val="0"/>
          <w:marTop w:val="0"/>
          <w:marBottom w:val="0"/>
          <w:divBdr>
            <w:top w:val="none" w:sz="0" w:space="0" w:color="auto"/>
            <w:left w:val="none" w:sz="0" w:space="0" w:color="auto"/>
            <w:bottom w:val="none" w:sz="0" w:space="0" w:color="auto"/>
            <w:right w:val="none" w:sz="0" w:space="0" w:color="auto"/>
          </w:divBdr>
          <w:divsChild>
            <w:div w:id="2125223728">
              <w:marLeft w:val="0"/>
              <w:marRight w:val="0"/>
              <w:marTop w:val="0"/>
              <w:marBottom w:val="0"/>
              <w:divBdr>
                <w:top w:val="none" w:sz="0" w:space="0" w:color="auto"/>
                <w:left w:val="none" w:sz="0" w:space="0" w:color="auto"/>
                <w:bottom w:val="none" w:sz="0" w:space="0" w:color="auto"/>
                <w:right w:val="none" w:sz="0" w:space="0" w:color="auto"/>
              </w:divBdr>
            </w:div>
            <w:div w:id="2107842510">
              <w:marLeft w:val="0"/>
              <w:marRight w:val="0"/>
              <w:marTop w:val="0"/>
              <w:marBottom w:val="0"/>
              <w:divBdr>
                <w:top w:val="none" w:sz="0" w:space="0" w:color="auto"/>
                <w:left w:val="none" w:sz="0" w:space="0" w:color="auto"/>
                <w:bottom w:val="none" w:sz="0" w:space="0" w:color="auto"/>
                <w:right w:val="none" w:sz="0" w:space="0" w:color="auto"/>
              </w:divBdr>
            </w:div>
            <w:div w:id="7419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5084">
      <w:bodyDiv w:val="1"/>
      <w:marLeft w:val="0"/>
      <w:marRight w:val="0"/>
      <w:marTop w:val="0"/>
      <w:marBottom w:val="0"/>
      <w:divBdr>
        <w:top w:val="none" w:sz="0" w:space="0" w:color="auto"/>
        <w:left w:val="none" w:sz="0" w:space="0" w:color="auto"/>
        <w:bottom w:val="none" w:sz="0" w:space="0" w:color="auto"/>
        <w:right w:val="none" w:sz="0" w:space="0" w:color="auto"/>
      </w:divBdr>
    </w:div>
    <w:div w:id="1631858167">
      <w:bodyDiv w:val="1"/>
      <w:marLeft w:val="0"/>
      <w:marRight w:val="0"/>
      <w:marTop w:val="0"/>
      <w:marBottom w:val="0"/>
      <w:divBdr>
        <w:top w:val="none" w:sz="0" w:space="0" w:color="auto"/>
        <w:left w:val="none" w:sz="0" w:space="0" w:color="auto"/>
        <w:bottom w:val="none" w:sz="0" w:space="0" w:color="auto"/>
        <w:right w:val="none" w:sz="0" w:space="0" w:color="auto"/>
      </w:divBdr>
    </w:div>
    <w:div w:id="197082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olicies.iu.edu/policies/aca-37-faculty-librarian-tenure/index.html"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olicies.iu.edu/policies/aca-38-faculty-librarian-promotion/index.html"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policies.iu.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academicaffairs.indianapolis.iu.edu/Faculty-Affairs/PromotionTenure/guidelines-and-standards"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sf.gov/funding/learn/broader-imp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council.indianapolis.iu.edu/Governance/IU-Indianapolis-Faculty-Guide"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4AE869CC36644A47CE61DBBF708C4" ma:contentTypeVersion="4" ma:contentTypeDescription="Create a new document." ma:contentTypeScope="" ma:versionID="0e115c17a4efcd7ca6e325bd45ce785b">
  <xsd:schema xmlns:xsd="http://www.w3.org/2001/XMLSchema" xmlns:xs="http://www.w3.org/2001/XMLSchema" xmlns:p="http://schemas.microsoft.com/office/2006/metadata/properties" xmlns:ns2="ccce4557-e4e7-4a97-9b15-699c8754042d" targetNamespace="http://schemas.microsoft.com/office/2006/metadata/properties" ma:root="true" ma:fieldsID="96e13ffd162847ee157dfb31a8992e0a" ns2:_="">
    <xsd:import namespace="ccce4557-e4e7-4a97-9b15-699c875404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e4557-e4e7-4a97-9b15-699c87540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73E2C-E382-405C-B0F9-0F0B7026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e4557-e4e7-4a97-9b15-699c87540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FF598-7986-447E-B96F-FD374A13B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D7E34-8958-3A4B-90A8-E653CCCDE808}">
  <ds:schemaRefs>
    <ds:schemaRef ds:uri="http://schemas.openxmlformats.org/officeDocument/2006/bibliography"/>
  </ds:schemaRefs>
</ds:datastoreItem>
</file>

<file path=customXml/itemProps4.xml><?xml version="1.0" encoding="utf-8"?>
<ds:datastoreItem xmlns:ds="http://schemas.openxmlformats.org/officeDocument/2006/customXml" ds:itemID="{0EB66DE9-9B8C-4B9D-8D01-C94A53034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19559</Words>
  <Characters>111491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Microsoft Word - sos_pt_guidlines_Approved_May3_2016.docx</vt:lpstr>
    </vt:vector>
  </TitlesOfParts>
  <Company>Indiana University</Company>
  <LinksUpToDate>false</LinksUpToDate>
  <CharactersWithSpaces>130789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sos_pt_guidlines_Approved_May3_2016.docx</dc:title>
  <dc:creator>Goodlett, Charles R.</dc:creator>
  <dc:description/>
  <cp:lastModifiedBy>Rubchinsky, Leonid L</cp:lastModifiedBy>
  <cp:revision>18</cp:revision>
  <cp:lastPrinted>2025-05-11T15:22:00Z</cp:lastPrinted>
  <dcterms:created xsi:type="dcterms:W3CDTF">2025-05-11T14:58:00Z</dcterms:created>
  <dcterms:modified xsi:type="dcterms:W3CDTF">2025-05-13T15:00:00Z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2024-02-16T00:00:00Z</vt:filetime>
  </property>
  <property fmtid="{D5CDD505-2E9C-101B-9397-08002B2CF9AE}" pid="5" name="Producer">
    <vt:lpwstr>Adobe PDF Library 22.1.149</vt:lpwstr>
  </property>
  <property fmtid="{D5CDD505-2E9C-101B-9397-08002B2CF9AE}" pid="6" name="SourceModified">
    <vt:lpwstr>D:20220613135446</vt:lpwstr>
  </property>
  <property fmtid="{D5CDD505-2E9C-101B-9397-08002B2CF9AE}" pid="7" name="ContentTypeId">
    <vt:lpwstr>0x010100EA54AE869CC36644A47CE61DBBF708C4</vt:lpwstr>
  </property>
</Properties>
</file>